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0428A" w14:textId="77777777" w:rsidR="00F37AE9" w:rsidRPr="00604741" w:rsidRDefault="00F37AE9" w:rsidP="003E14D0">
      <w:pPr>
        <w:pStyle w:val="NoSpacing"/>
        <w:rPr>
          <w:rFonts w:ascii="Arial" w:hAnsi="Arial" w:cs="Arial"/>
          <w:b/>
        </w:rPr>
      </w:pPr>
      <w:r w:rsidRPr="00604741">
        <w:rPr>
          <w:rFonts w:ascii="Arial" w:hAnsi="Arial" w:cs="Arial"/>
          <w:b/>
        </w:rPr>
        <w:t>Press release</w:t>
      </w:r>
    </w:p>
    <w:p w14:paraId="24A57ED4" w14:textId="1B795BD3" w:rsidR="00F37AE9" w:rsidRDefault="007E1ED6" w:rsidP="003E14D0">
      <w:pPr>
        <w:pStyle w:val="NoSpacing"/>
        <w:rPr>
          <w:rFonts w:ascii="Arial" w:hAnsi="Arial" w:cs="Arial"/>
          <w:b/>
        </w:rPr>
      </w:pPr>
      <w:r>
        <w:rPr>
          <w:rFonts w:ascii="Arial" w:hAnsi="Arial" w:cs="Arial"/>
          <w:b/>
        </w:rPr>
        <w:t>30</w:t>
      </w:r>
      <w:r w:rsidR="00A953C4">
        <w:rPr>
          <w:rFonts w:ascii="Arial" w:hAnsi="Arial" w:cs="Arial"/>
          <w:b/>
        </w:rPr>
        <w:t xml:space="preserve"> April</w:t>
      </w:r>
      <w:r w:rsidR="00407588">
        <w:rPr>
          <w:rFonts w:ascii="Arial" w:hAnsi="Arial" w:cs="Arial"/>
          <w:b/>
        </w:rPr>
        <w:t xml:space="preserve"> </w:t>
      </w:r>
      <w:r w:rsidR="003025C0">
        <w:rPr>
          <w:rFonts w:ascii="Arial" w:hAnsi="Arial" w:cs="Arial"/>
          <w:b/>
        </w:rPr>
        <w:t>201</w:t>
      </w:r>
      <w:r w:rsidR="00D35280">
        <w:rPr>
          <w:rFonts w:ascii="Arial" w:hAnsi="Arial" w:cs="Arial"/>
          <w:b/>
        </w:rPr>
        <w:t>8</w:t>
      </w:r>
      <w:r w:rsidR="003025C0">
        <w:rPr>
          <w:rFonts w:ascii="Arial" w:hAnsi="Arial" w:cs="Arial"/>
          <w:b/>
        </w:rPr>
        <w:t xml:space="preserve"> </w:t>
      </w:r>
    </w:p>
    <w:p w14:paraId="7BFF448F" w14:textId="77777777" w:rsidR="00E966BE" w:rsidRDefault="00E966BE" w:rsidP="003E14D0">
      <w:pPr>
        <w:pStyle w:val="NoSpacing"/>
        <w:rPr>
          <w:rFonts w:ascii="Arial" w:hAnsi="Arial" w:cs="Arial"/>
          <w:b/>
        </w:rPr>
      </w:pPr>
    </w:p>
    <w:p w14:paraId="0AF60EF9" w14:textId="41CB129D" w:rsidR="00E966BE" w:rsidRPr="00FC2076" w:rsidRDefault="00407588" w:rsidP="00E966BE">
      <w:pPr>
        <w:pStyle w:val="NoSpacing"/>
        <w:jc w:val="center"/>
        <w:rPr>
          <w:rFonts w:ascii="Arial" w:hAnsi="Arial" w:cs="Arial"/>
          <w:b/>
          <w:sz w:val="28"/>
          <w:szCs w:val="28"/>
        </w:rPr>
      </w:pPr>
      <w:r w:rsidRPr="00FC2076">
        <w:rPr>
          <w:rFonts w:ascii="Arial" w:hAnsi="Arial" w:cs="Arial"/>
          <w:b/>
          <w:sz w:val="28"/>
          <w:szCs w:val="28"/>
        </w:rPr>
        <w:t>G</w:t>
      </w:r>
      <w:r w:rsidR="00E966BE" w:rsidRPr="00FC2076">
        <w:rPr>
          <w:rFonts w:ascii="Arial" w:hAnsi="Arial" w:cs="Arial"/>
          <w:b/>
          <w:sz w:val="28"/>
          <w:szCs w:val="28"/>
        </w:rPr>
        <w:t xml:space="preserve">roup risk industry </w:t>
      </w:r>
      <w:r w:rsidRPr="00FC2076">
        <w:rPr>
          <w:rFonts w:ascii="Arial" w:hAnsi="Arial" w:cs="Arial"/>
          <w:b/>
          <w:sz w:val="28"/>
          <w:szCs w:val="28"/>
        </w:rPr>
        <w:t>has another record breaking year, helping even more</w:t>
      </w:r>
      <w:r w:rsidR="00E966BE" w:rsidRPr="00FC2076">
        <w:rPr>
          <w:rFonts w:ascii="Arial" w:hAnsi="Arial" w:cs="Arial"/>
          <w:b/>
          <w:sz w:val="28"/>
          <w:szCs w:val="28"/>
        </w:rPr>
        <w:t xml:space="preserve"> families in 201</w:t>
      </w:r>
      <w:r w:rsidRPr="00FC2076">
        <w:rPr>
          <w:rFonts w:ascii="Arial" w:hAnsi="Arial" w:cs="Arial"/>
          <w:b/>
          <w:sz w:val="28"/>
          <w:szCs w:val="28"/>
        </w:rPr>
        <w:t>7</w:t>
      </w:r>
    </w:p>
    <w:p w14:paraId="1CA92506" w14:textId="77777777" w:rsidR="00F37AE9" w:rsidRPr="00604741" w:rsidRDefault="00F37AE9" w:rsidP="003E14D0">
      <w:pPr>
        <w:pStyle w:val="NoSpacing"/>
        <w:rPr>
          <w:rFonts w:ascii="Arial" w:hAnsi="Arial" w:cs="Arial"/>
          <w:b/>
        </w:rPr>
      </w:pPr>
    </w:p>
    <w:p w14:paraId="1FFE245C" w14:textId="746FD81B" w:rsidR="003E14D0" w:rsidRPr="00604741" w:rsidRDefault="003E14D0" w:rsidP="00A60915">
      <w:pPr>
        <w:pStyle w:val="NoSpacing"/>
        <w:numPr>
          <w:ilvl w:val="0"/>
          <w:numId w:val="3"/>
        </w:numPr>
        <w:jc w:val="center"/>
        <w:rPr>
          <w:rFonts w:ascii="Arial" w:hAnsi="Arial" w:cs="Arial"/>
          <w:b/>
          <w:strike/>
        </w:rPr>
      </w:pPr>
      <w:r w:rsidRPr="00604741">
        <w:rPr>
          <w:rFonts w:ascii="Arial" w:hAnsi="Arial" w:cs="Arial"/>
          <w:b/>
        </w:rPr>
        <w:t xml:space="preserve">UK Group Risk industry paid out </w:t>
      </w:r>
      <w:r w:rsidR="00930534">
        <w:rPr>
          <w:rFonts w:ascii="Arial" w:hAnsi="Arial" w:cs="Arial"/>
          <w:b/>
        </w:rPr>
        <w:t xml:space="preserve">a new high of </w:t>
      </w:r>
      <w:r w:rsidRPr="00604741">
        <w:rPr>
          <w:rFonts w:ascii="Arial" w:hAnsi="Arial" w:cs="Arial"/>
          <w:b/>
        </w:rPr>
        <w:t>£</w:t>
      </w:r>
      <w:r w:rsidR="005941B5">
        <w:rPr>
          <w:rFonts w:ascii="Arial" w:hAnsi="Arial" w:cs="Arial"/>
          <w:b/>
        </w:rPr>
        <w:t>1.</w:t>
      </w:r>
      <w:r w:rsidR="00930534">
        <w:rPr>
          <w:rFonts w:ascii="Arial" w:hAnsi="Arial" w:cs="Arial"/>
          <w:b/>
        </w:rPr>
        <w:t>6</w:t>
      </w:r>
      <w:r w:rsidR="0042005B" w:rsidRPr="00604741">
        <w:rPr>
          <w:rFonts w:ascii="Arial" w:hAnsi="Arial" w:cs="Arial"/>
          <w:b/>
        </w:rPr>
        <w:t xml:space="preserve">bn </w:t>
      </w:r>
      <w:r w:rsidR="00F6374A">
        <w:rPr>
          <w:rFonts w:ascii="Arial" w:hAnsi="Arial" w:cs="Arial"/>
          <w:b/>
        </w:rPr>
        <w:t xml:space="preserve">in </w:t>
      </w:r>
      <w:r w:rsidRPr="00604741">
        <w:rPr>
          <w:rFonts w:ascii="Arial" w:hAnsi="Arial" w:cs="Arial"/>
          <w:b/>
        </w:rPr>
        <w:t xml:space="preserve">claims in </w:t>
      </w:r>
      <w:r w:rsidR="005941B5">
        <w:rPr>
          <w:rFonts w:ascii="Arial" w:hAnsi="Arial" w:cs="Arial"/>
          <w:b/>
        </w:rPr>
        <w:t>201</w:t>
      </w:r>
      <w:r w:rsidR="00930534">
        <w:rPr>
          <w:rFonts w:ascii="Arial" w:hAnsi="Arial" w:cs="Arial"/>
          <w:b/>
        </w:rPr>
        <w:t>7</w:t>
      </w:r>
      <w:r w:rsidR="00153A87">
        <w:rPr>
          <w:rFonts w:ascii="Arial" w:hAnsi="Arial" w:cs="Arial"/>
          <w:b/>
        </w:rPr>
        <w:t>,</w:t>
      </w:r>
      <w:r w:rsidR="00A60915" w:rsidRPr="00604741">
        <w:rPr>
          <w:rFonts w:ascii="Arial" w:hAnsi="Arial" w:cs="Arial"/>
          <w:b/>
        </w:rPr>
        <w:t xml:space="preserve"> </w:t>
      </w:r>
      <w:r w:rsidR="00A60EC3" w:rsidRPr="00604741">
        <w:rPr>
          <w:rFonts w:ascii="Arial" w:hAnsi="Arial" w:cs="Arial"/>
          <w:b/>
        </w:rPr>
        <w:t xml:space="preserve">a </w:t>
      </w:r>
      <w:r w:rsidR="000F637E">
        <w:rPr>
          <w:rFonts w:ascii="Arial" w:hAnsi="Arial" w:cs="Arial"/>
          <w:b/>
        </w:rPr>
        <w:t>£1</w:t>
      </w:r>
      <w:r w:rsidR="00581A25">
        <w:rPr>
          <w:rFonts w:ascii="Arial" w:hAnsi="Arial" w:cs="Arial"/>
          <w:b/>
        </w:rPr>
        <w:t>20</w:t>
      </w:r>
      <w:r w:rsidR="000F637E">
        <w:rPr>
          <w:rFonts w:ascii="Arial" w:hAnsi="Arial" w:cs="Arial"/>
          <w:b/>
        </w:rPr>
        <w:t>m increase on 201</w:t>
      </w:r>
      <w:r w:rsidR="00581A25">
        <w:rPr>
          <w:rFonts w:ascii="Arial" w:hAnsi="Arial" w:cs="Arial"/>
          <w:b/>
        </w:rPr>
        <w:t>6</w:t>
      </w:r>
      <w:r w:rsidR="00F6374A">
        <w:rPr>
          <w:rFonts w:ascii="Arial" w:hAnsi="Arial" w:cs="Arial"/>
          <w:b/>
        </w:rPr>
        <w:t xml:space="preserve">, and </w:t>
      </w:r>
      <w:r w:rsidR="00CA003B">
        <w:rPr>
          <w:rFonts w:ascii="Arial" w:hAnsi="Arial" w:cs="Arial"/>
          <w:b/>
        </w:rPr>
        <w:t>equivalent to £4.</w:t>
      </w:r>
      <w:r w:rsidR="00581A25">
        <w:rPr>
          <w:rFonts w:ascii="Arial" w:hAnsi="Arial" w:cs="Arial"/>
          <w:b/>
        </w:rPr>
        <w:t>43</w:t>
      </w:r>
      <w:r w:rsidR="00CA003B">
        <w:rPr>
          <w:rFonts w:ascii="Arial" w:hAnsi="Arial" w:cs="Arial"/>
          <w:b/>
        </w:rPr>
        <w:t>m a day</w:t>
      </w:r>
    </w:p>
    <w:p w14:paraId="73C59457" w14:textId="6A71C57A" w:rsidR="00A60915" w:rsidRPr="00AA15DA" w:rsidRDefault="00853E07" w:rsidP="00AA15DA">
      <w:pPr>
        <w:pStyle w:val="NoSpacing"/>
        <w:numPr>
          <w:ilvl w:val="0"/>
          <w:numId w:val="3"/>
        </w:numPr>
        <w:jc w:val="center"/>
        <w:rPr>
          <w:rFonts w:ascii="Arial" w:hAnsi="Arial" w:cs="Arial"/>
          <w:b/>
        </w:rPr>
      </w:pPr>
      <w:r>
        <w:rPr>
          <w:rFonts w:ascii="Arial" w:hAnsi="Arial" w:cs="Arial"/>
          <w:b/>
        </w:rPr>
        <w:t>4,944</w:t>
      </w:r>
      <w:r w:rsidR="00A60915" w:rsidRPr="00604741">
        <w:rPr>
          <w:rFonts w:ascii="Arial" w:hAnsi="Arial" w:cs="Arial"/>
          <w:b/>
        </w:rPr>
        <w:t xml:space="preserve"> people were helped </w:t>
      </w:r>
      <w:r w:rsidR="00CD6E31">
        <w:rPr>
          <w:rFonts w:ascii="Arial" w:hAnsi="Arial" w:cs="Arial"/>
          <w:b/>
        </w:rPr>
        <w:t>back to work</w:t>
      </w:r>
      <w:r w:rsidR="00A60915" w:rsidRPr="00604741">
        <w:rPr>
          <w:rFonts w:ascii="Arial" w:hAnsi="Arial" w:cs="Arial"/>
          <w:b/>
        </w:rPr>
        <w:t xml:space="preserve"> </w:t>
      </w:r>
      <w:r w:rsidR="00A553D8">
        <w:rPr>
          <w:rFonts w:ascii="Arial" w:hAnsi="Arial" w:cs="Arial"/>
          <w:b/>
        </w:rPr>
        <w:t>after a period of sick leave</w:t>
      </w:r>
    </w:p>
    <w:p w14:paraId="6F3F2FBC" w14:textId="0C415F79" w:rsidR="00853D40" w:rsidRPr="00DC72FD" w:rsidRDefault="00DC72FD" w:rsidP="00A60915">
      <w:pPr>
        <w:pStyle w:val="NoSpacing"/>
        <w:numPr>
          <w:ilvl w:val="0"/>
          <w:numId w:val="3"/>
        </w:numPr>
        <w:jc w:val="center"/>
        <w:rPr>
          <w:rFonts w:ascii="Arial" w:hAnsi="Arial" w:cs="Arial"/>
          <w:b/>
        </w:rPr>
      </w:pPr>
      <w:r w:rsidRPr="00DC72FD">
        <w:rPr>
          <w:rFonts w:ascii="Arial" w:hAnsi="Arial" w:cs="Arial"/>
          <w:b/>
        </w:rPr>
        <w:t xml:space="preserve">7,879 people were referred to help and support </w:t>
      </w:r>
      <w:r w:rsidR="00602520">
        <w:rPr>
          <w:rFonts w:ascii="Arial" w:hAnsi="Arial" w:cs="Arial"/>
          <w:b/>
        </w:rPr>
        <w:t xml:space="preserve">funded </w:t>
      </w:r>
      <w:r w:rsidRPr="00DC72FD">
        <w:rPr>
          <w:rFonts w:ascii="Arial" w:hAnsi="Arial" w:cs="Arial"/>
          <w:b/>
        </w:rPr>
        <w:t xml:space="preserve">by </w:t>
      </w:r>
      <w:r w:rsidR="00AA15DA">
        <w:rPr>
          <w:rFonts w:ascii="Arial" w:hAnsi="Arial" w:cs="Arial"/>
          <w:b/>
        </w:rPr>
        <w:t>G</w:t>
      </w:r>
      <w:r w:rsidRPr="00DC72FD">
        <w:rPr>
          <w:rFonts w:ascii="Arial" w:hAnsi="Arial" w:cs="Arial"/>
          <w:b/>
        </w:rPr>
        <w:t xml:space="preserve">roup </w:t>
      </w:r>
      <w:r w:rsidR="00AA15DA">
        <w:rPr>
          <w:rFonts w:ascii="Arial" w:hAnsi="Arial" w:cs="Arial"/>
          <w:b/>
        </w:rPr>
        <w:t>R</w:t>
      </w:r>
      <w:r w:rsidRPr="00DC72FD">
        <w:rPr>
          <w:rFonts w:ascii="Arial" w:hAnsi="Arial" w:cs="Arial"/>
          <w:b/>
        </w:rPr>
        <w:t>isk insurers</w:t>
      </w:r>
    </w:p>
    <w:p w14:paraId="7DD8D346" w14:textId="2F887467" w:rsidR="00A60915" w:rsidRDefault="00A60915" w:rsidP="00A60915">
      <w:pPr>
        <w:pStyle w:val="NoSpacing"/>
        <w:numPr>
          <w:ilvl w:val="0"/>
          <w:numId w:val="3"/>
        </w:numPr>
        <w:jc w:val="center"/>
        <w:rPr>
          <w:rFonts w:ascii="Arial" w:hAnsi="Arial" w:cs="Arial"/>
          <w:b/>
        </w:rPr>
      </w:pPr>
      <w:r w:rsidRPr="00604741">
        <w:rPr>
          <w:rFonts w:ascii="Arial" w:hAnsi="Arial" w:cs="Arial"/>
          <w:b/>
        </w:rPr>
        <w:t xml:space="preserve">Cancer </w:t>
      </w:r>
      <w:r w:rsidR="00266DC4">
        <w:rPr>
          <w:rFonts w:ascii="Arial" w:hAnsi="Arial" w:cs="Arial"/>
          <w:b/>
        </w:rPr>
        <w:t xml:space="preserve">was </w:t>
      </w:r>
      <w:r w:rsidR="008638A5">
        <w:rPr>
          <w:rFonts w:ascii="Arial" w:hAnsi="Arial" w:cs="Arial"/>
          <w:b/>
        </w:rPr>
        <w:t>a</w:t>
      </w:r>
      <w:r w:rsidRPr="00604741">
        <w:rPr>
          <w:rFonts w:ascii="Arial" w:hAnsi="Arial" w:cs="Arial"/>
          <w:b/>
        </w:rPr>
        <w:t xml:space="preserve"> main cause of claim across all Group Risk products</w:t>
      </w:r>
    </w:p>
    <w:p w14:paraId="20E6500A" w14:textId="7E7B6917" w:rsidR="00CB3E3F" w:rsidRPr="00AA15DA" w:rsidRDefault="00AA15DA" w:rsidP="00A60915">
      <w:pPr>
        <w:pStyle w:val="NoSpacing"/>
        <w:numPr>
          <w:ilvl w:val="0"/>
          <w:numId w:val="3"/>
        </w:numPr>
        <w:jc w:val="center"/>
        <w:rPr>
          <w:rFonts w:ascii="Arial" w:hAnsi="Arial" w:cs="Arial"/>
          <w:b/>
        </w:rPr>
      </w:pPr>
      <w:r w:rsidRPr="00AA15DA">
        <w:rPr>
          <w:rFonts w:ascii="Arial" w:hAnsi="Arial" w:cs="Arial"/>
          <w:b/>
        </w:rPr>
        <w:t xml:space="preserve">Mental Illness </w:t>
      </w:r>
      <w:r w:rsidR="00BE09D0">
        <w:rPr>
          <w:rFonts w:ascii="Arial" w:hAnsi="Arial" w:cs="Arial"/>
          <w:b/>
        </w:rPr>
        <w:t>was</w:t>
      </w:r>
      <w:r w:rsidR="00F97090">
        <w:rPr>
          <w:rFonts w:ascii="Arial" w:hAnsi="Arial" w:cs="Arial"/>
          <w:b/>
        </w:rPr>
        <w:t xml:space="preserve"> the</w:t>
      </w:r>
      <w:r w:rsidR="00BE09D0">
        <w:rPr>
          <w:rFonts w:ascii="Arial" w:hAnsi="Arial" w:cs="Arial"/>
          <w:b/>
        </w:rPr>
        <w:t xml:space="preserve"> </w:t>
      </w:r>
      <w:r w:rsidRPr="00AA15DA">
        <w:rPr>
          <w:rFonts w:ascii="Arial" w:hAnsi="Arial" w:cs="Arial"/>
          <w:b/>
        </w:rPr>
        <w:t xml:space="preserve">top cause of claim under Group Income Protection </w:t>
      </w:r>
    </w:p>
    <w:p w14:paraId="022E266F" w14:textId="77777777" w:rsidR="00D27178" w:rsidRPr="00604741" w:rsidRDefault="00D27178" w:rsidP="00D27178">
      <w:pPr>
        <w:pStyle w:val="NoSpacing"/>
        <w:jc w:val="center"/>
        <w:rPr>
          <w:rFonts w:ascii="Arial" w:hAnsi="Arial" w:cs="Arial"/>
        </w:rPr>
      </w:pPr>
    </w:p>
    <w:p w14:paraId="59D5FE48" w14:textId="0B65DCAA" w:rsidR="00C46DE1" w:rsidRPr="00B57BEA" w:rsidRDefault="00CB3E3F" w:rsidP="00D1117B">
      <w:pPr>
        <w:pStyle w:val="NoSpacing"/>
        <w:rPr>
          <w:rFonts w:ascii="Arial" w:hAnsi="Arial" w:cs="Arial"/>
        </w:rPr>
      </w:pPr>
      <w:r w:rsidRPr="00B57BEA">
        <w:rPr>
          <w:rFonts w:ascii="Arial" w:hAnsi="Arial" w:cs="Arial"/>
        </w:rPr>
        <w:t>Yet again, t</w:t>
      </w:r>
      <w:r w:rsidR="000F637E" w:rsidRPr="00B57BEA">
        <w:rPr>
          <w:rFonts w:ascii="Arial" w:hAnsi="Arial" w:cs="Arial"/>
        </w:rPr>
        <w:t xml:space="preserve">he </w:t>
      </w:r>
      <w:r w:rsidR="00C46DE1" w:rsidRPr="00B57BEA">
        <w:rPr>
          <w:rFonts w:ascii="Arial" w:hAnsi="Arial" w:cs="Arial"/>
        </w:rPr>
        <w:t>g</w:t>
      </w:r>
      <w:r w:rsidR="000F637E" w:rsidRPr="00B57BEA">
        <w:rPr>
          <w:rFonts w:ascii="Arial" w:hAnsi="Arial" w:cs="Arial"/>
        </w:rPr>
        <w:t xml:space="preserve">roup </w:t>
      </w:r>
      <w:r w:rsidR="00C46DE1" w:rsidRPr="00B57BEA">
        <w:rPr>
          <w:rFonts w:ascii="Arial" w:hAnsi="Arial" w:cs="Arial"/>
        </w:rPr>
        <w:t>r</w:t>
      </w:r>
      <w:r w:rsidR="000F637E" w:rsidRPr="00B57BEA">
        <w:rPr>
          <w:rFonts w:ascii="Arial" w:hAnsi="Arial" w:cs="Arial"/>
        </w:rPr>
        <w:t>isk i</w:t>
      </w:r>
      <w:r w:rsidR="009F64BA" w:rsidRPr="00B57BEA">
        <w:rPr>
          <w:rFonts w:ascii="Arial" w:hAnsi="Arial" w:cs="Arial"/>
        </w:rPr>
        <w:t xml:space="preserve">ndustry </w:t>
      </w:r>
      <w:r w:rsidR="003369F8" w:rsidRPr="00B57BEA">
        <w:rPr>
          <w:rFonts w:ascii="Arial" w:hAnsi="Arial" w:cs="Arial"/>
        </w:rPr>
        <w:t>provided financial support to</w:t>
      </w:r>
      <w:r w:rsidR="000F637E" w:rsidRPr="00B57BEA">
        <w:rPr>
          <w:rFonts w:ascii="Arial" w:hAnsi="Arial" w:cs="Arial"/>
        </w:rPr>
        <w:t xml:space="preserve"> a record number of families </w:t>
      </w:r>
      <w:r w:rsidR="00701260" w:rsidRPr="00B57BEA">
        <w:rPr>
          <w:rFonts w:ascii="Arial" w:hAnsi="Arial" w:cs="Arial"/>
        </w:rPr>
        <w:t>d</w:t>
      </w:r>
      <w:r w:rsidR="000F637E" w:rsidRPr="00B57BEA">
        <w:rPr>
          <w:rFonts w:ascii="Arial" w:hAnsi="Arial" w:cs="Arial"/>
        </w:rPr>
        <w:t>uring 201</w:t>
      </w:r>
      <w:r w:rsidRPr="00B57BEA">
        <w:rPr>
          <w:rFonts w:ascii="Arial" w:hAnsi="Arial" w:cs="Arial"/>
        </w:rPr>
        <w:t>7</w:t>
      </w:r>
      <w:r w:rsidR="000F637E" w:rsidRPr="00B57BEA">
        <w:rPr>
          <w:rFonts w:ascii="Arial" w:hAnsi="Arial" w:cs="Arial"/>
        </w:rPr>
        <w:t xml:space="preserve">. Industry data </w:t>
      </w:r>
      <w:r w:rsidR="007C7DDB" w:rsidRPr="00B57BEA">
        <w:rPr>
          <w:rFonts w:ascii="Arial" w:hAnsi="Arial" w:cs="Arial"/>
        </w:rPr>
        <w:t xml:space="preserve">compiled and </w:t>
      </w:r>
      <w:r w:rsidR="000F637E" w:rsidRPr="00B57BEA">
        <w:rPr>
          <w:rFonts w:ascii="Arial" w:hAnsi="Arial" w:cs="Arial"/>
        </w:rPr>
        <w:t>published today by Group Risk Development (GRiD)</w:t>
      </w:r>
      <w:r w:rsidR="003E14D0" w:rsidRPr="00B57BEA">
        <w:rPr>
          <w:rFonts w:ascii="Arial" w:hAnsi="Arial" w:cs="Arial"/>
        </w:rPr>
        <w:t xml:space="preserve"> shows that a total of </w:t>
      </w:r>
      <w:r w:rsidRPr="00B57BEA">
        <w:rPr>
          <w:rFonts w:ascii="Arial" w:hAnsi="Arial" w:cs="Arial"/>
        </w:rPr>
        <w:t>over</w:t>
      </w:r>
      <w:r w:rsidR="00AE6C53" w:rsidRPr="00B57BEA">
        <w:rPr>
          <w:rFonts w:ascii="Arial" w:hAnsi="Arial" w:cs="Arial"/>
        </w:rPr>
        <w:t xml:space="preserve"> </w:t>
      </w:r>
      <w:r w:rsidR="003E14D0" w:rsidRPr="00B57BEA">
        <w:rPr>
          <w:rFonts w:ascii="Arial" w:hAnsi="Arial" w:cs="Arial"/>
        </w:rPr>
        <w:t>£</w:t>
      </w:r>
      <w:r w:rsidR="000F637E" w:rsidRPr="00B57BEA">
        <w:rPr>
          <w:rFonts w:ascii="Arial" w:hAnsi="Arial" w:cs="Arial"/>
        </w:rPr>
        <w:t>1.</w:t>
      </w:r>
      <w:r w:rsidRPr="00B57BEA">
        <w:rPr>
          <w:rFonts w:ascii="Arial" w:hAnsi="Arial" w:cs="Arial"/>
        </w:rPr>
        <w:t>6</w:t>
      </w:r>
      <w:r w:rsidR="0042005B" w:rsidRPr="00B57BEA">
        <w:rPr>
          <w:rFonts w:ascii="Arial" w:hAnsi="Arial" w:cs="Arial"/>
        </w:rPr>
        <w:t xml:space="preserve">bn </w:t>
      </w:r>
      <w:r w:rsidR="003E14D0" w:rsidRPr="00B57BEA">
        <w:rPr>
          <w:rFonts w:ascii="Arial" w:hAnsi="Arial" w:cs="Arial"/>
        </w:rPr>
        <w:t xml:space="preserve">was paid out </w:t>
      </w:r>
      <w:r w:rsidR="000F637E" w:rsidRPr="00B57BEA">
        <w:rPr>
          <w:rFonts w:ascii="Arial" w:hAnsi="Arial" w:cs="Arial"/>
        </w:rPr>
        <w:t xml:space="preserve">by the </w:t>
      </w:r>
      <w:r w:rsidR="00C46DE1" w:rsidRPr="00B57BEA">
        <w:rPr>
          <w:rFonts w:ascii="Arial" w:hAnsi="Arial" w:cs="Arial"/>
        </w:rPr>
        <w:t>g</w:t>
      </w:r>
      <w:r w:rsidR="000F637E" w:rsidRPr="00B57BEA">
        <w:rPr>
          <w:rFonts w:ascii="Arial" w:hAnsi="Arial" w:cs="Arial"/>
        </w:rPr>
        <w:t xml:space="preserve">roup </w:t>
      </w:r>
      <w:r w:rsidR="00C46DE1" w:rsidRPr="00B57BEA">
        <w:rPr>
          <w:rFonts w:ascii="Arial" w:hAnsi="Arial" w:cs="Arial"/>
        </w:rPr>
        <w:t>r</w:t>
      </w:r>
      <w:r w:rsidR="000F637E" w:rsidRPr="00B57BEA">
        <w:rPr>
          <w:rFonts w:ascii="Arial" w:hAnsi="Arial" w:cs="Arial"/>
        </w:rPr>
        <w:t xml:space="preserve">isk industry </w:t>
      </w:r>
      <w:r w:rsidR="003E14D0" w:rsidRPr="00B57BEA">
        <w:rPr>
          <w:rFonts w:ascii="Arial" w:hAnsi="Arial" w:cs="Arial"/>
        </w:rPr>
        <w:t>during 201</w:t>
      </w:r>
      <w:r w:rsidRPr="00B57BEA">
        <w:rPr>
          <w:rFonts w:ascii="Arial" w:hAnsi="Arial" w:cs="Arial"/>
        </w:rPr>
        <w:t>7</w:t>
      </w:r>
      <w:r w:rsidR="003E14D0" w:rsidRPr="00B57BEA">
        <w:rPr>
          <w:rFonts w:ascii="Arial" w:hAnsi="Arial" w:cs="Arial"/>
        </w:rPr>
        <w:t>,</w:t>
      </w:r>
      <w:r w:rsidR="00EA3A83" w:rsidRPr="00B57BEA">
        <w:rPr>
          <w:rFonts w:ascii="Arial" w:hAnsi="Arial" w:cs="Arial"/>
        </w:rPr>
        <w:t xml:space="preserve"> </w:t>
      </w:r>
      <w:r w:rsidR="000F637E" w:rsidRPr="00B57BEA">
        <w:rPr>
          <w:rFonts w:ascii="Arial" w:hAnsi="Arial" w:cs="Arial"/>
        </w:rPr>
        <w:t xml:space="preserve">a </w:t>
      </w:r>
      <w:r w:rsidR="007C7DDB" w:rsidRPr="00B57BEA">
        <w:rPr>
          <w:rFonts w:ascii="Arial" w:hAnsi="Arial" w:cs="Arial"/>
        </w:rPr>
        <w:t>£1</w:t>
      </w:r>
      <w:r w:rsidRPr="00B57BEA">
        <w:rPr>
          <w:rFonts w:ascii="Arial" w:hAnsi="Arial" w:cs="Arial"/>
        </w:rPr>
        <w:t>20.</w:t>
      </w:r>
      <w:r w:rsidR="000A6CBE">
        <w:rPr>
          <w:rFonts w:ascii="Arial" w:hAnsi="Arial" w:cs="Arial"/>
        </w:rPr>
        <w:t>5</w:t>
      </w:r>
      <w:r w:rsidR="007C7DDB" w:rsidRPr="00B57BEA">
        <w:rPr>
          <w:rFonts w:ascii="Arial" w:hAnsi="Arial" w:cs="Arial"/>
        </w:rPr>
        <w:t xml:space="preserve"> million</w:t>
      </w:r>
      <w:r w:rsidR="000F637E" w:rsidRPr="00B57BEA">
        <w:rPr>
          <w:rFonts w:ascii="Arial" w:hAnsi="Arial" w:cs="Arial"/>
        </w:rPr>
        <w:t xml:space="preserve"> increase on 201</w:t>
      </w:r>
      <w:r w:rsidRPr="00B57BEA">
        <w:rPr>
          <w:rFonts w:ascii="Arial" w:hAnsi="Arial" w:cs="Arial"/>
        </w:rPr>
        <w:t>6</w:t>
      </w:r>
      <w:r w:rsidR="000F637E" w:rsidRPr="00B57BEA">
        <w:rPr>
          <w:rFonts w:ascii="Arial" w:hAnsi="Arial" w:cs="Arial"/>
        </w:rPr>
        <w:t xml:space="preserve">. </w:t>
      </w:r>
      <w:r w:rsidR="003E14D0" w:rsidRPr="00685D65">
        <w:rPr>
          <w:rFonts w:ascii="Arial" w:hAnsi="Arial" w:cs="Arial"/>
        </w:rPr>
        <w:t>2</w:t>
      </w:r>
      <w:r w:rsidRPr="00685D65">
        <w:rPr>
          <w:rFonts w:ascii="Arial" w:hAnsi="Arial" w:cs="Arial"/>
        </w:rPr>
        <w:t>5,906</w:t>
      </w:r>
      <w:r w:rsidR="00A60EC3" w:rsidRPr="00B57BEA">
        <w:rPr>
          <w:rFonts w:ascii="Arial" w:hAnsi="Arial" w:cs="Arial"/>
          <w:color w:val="FF0000"/>
        </w:rPr>
        <w:t xml:space="preserve"> </w:t>
      </w:r>
      <w:r w:rsidR="003E14D0" w:rsidRPr="00B57BEA">
        <w:rPr>
          <w:rFonts w:ascii="Arial" w:hAnsi="Arial" w:cs="Arial"/>
        </w:rPr>
        <w:t xml:space="preserve">UK families </w:t>
      </w:r>
      <w:r w:rsidR="00F97090">
        <w:rPr>
          <w:rFonts w:ascii="Arial" w:hAnsi="Arial" w:cs="Arial"/>
        </w:rPr>
        <w:t xml:space="preserve">were helped to </w:t>
      </w:r>
      <w:r w:rsidR="0066318C" w:rsidRPr="00B57BEA">
        <w:rPr>
          <w:rFonts w:ascii="Arial" w:hAnsi="Arial" w:cs="Arial"/>
        </w:rPr>
        <w:t>avoid financial hardship</w:t>
      </w:r>
      <w:r w:rsidR="007C7DDB" w:rsidRPr="00B57BEA">
        <w:rPr>
          <w:rFonts w:ascii="Arial" w:hAnsi="Arial" w:cs="Arial"/>
        </w:rPr>
        <w:t xml:space="preserve"> after the death, illness, accident or disability of a </w:t>
      </w:r>
      <w:r w:rsidR="00F461DC">
        <w:rPr>
          <w:rFonts w:ascii="Arial" w:hAnsi="Arial" w:cs="Arial"/>
        </w:rPr>
        <w:t>loved one</w:t>
      </w:r>
      <w:r w:rsidR="003E14D0" w:rsidRPr="00B57BEA">
        <w:rPr>
          <w:rFonts w:ascii="Arial" w:hAnsi="Arial" w:cs="Arial"/>
        </w:rPr>
        <w:t>.</w:t>
      </w:r>
      <w:r w:rsidR="008C5E63" w:rsidRPr="00B57BEA">
        <w:rPr>
          <w:rFonts w:ascii="Arial" w:hAnsi="Arial" w:cs="Arial"/>
        </w:rPr>
        <w:t xml:space="preserve"> </w:t>
      </w:r>
    </w:p>
    <w:p w14:paraId="45AF0F26" w14:textId="67E4F31A" w:rsidR="000E5B67" w:rsidRPr="00B57BEA" w:rsidRDefault="000E5B67" w:rsidP="00D1117B">
      <w:pPr>
        <w:pStyle w:val="NoSpacing"/>
        <w:rPr>
          <w:rFonts w:ascii="Arial" w:hAnsi="Arial" w:cs="Arial"/>
        </w:rPr>
      </w:pPr>
    </w:p>
    <w:p w14:paraId="26A70D7C" w14:textId="749E8AD9" w:rsidR="00B77407" w:rsidRPr="00B57BEA" w:rsidRDefault="00F97090" w:rsidP="00D1117B">
      <w:pPr>
        <w:pStyle w:val="NoSpacing"/>
        <w:rPr>
          <w:rFonts w:ascii="Arial" w:hAnsi="Arial" w:cs="Arial"/>
        </w:rPr>
      </w:pPr>
      <w:r>
        <w:rPr>
          <w:rFonts w:ascii="Arial" w:hAnsi="Arial" w:cs="Arial"/>
        </w:rPr>
        <w:t>A</w:t>
      </w:r>
      <w:r w:rsidRPr="00B57BEA">
        <w:rPr>
          <w:rFonts w:ascii="Arial" w:hAnsi="Arial" w:cs="Arial"/>
        </w:rPr>
        <w:t xml:space="preserve">s well as </w:t>
      </w:r>
      <w:r>
        <w:rPr>
          <w:rFonts w:ascii="Arial" w:hAnsi="Arial" w:cs="Arial"/>
        </w:rPr>
        <w:t xml:space="preserve">financial </w:t>
      </w:r>
      <w:r w:rsidRPr="00B57BEA">
        <w:rPr>
          <w:rFonts w:ascii="Arial" w:hAnsi="Arial" w:cs="Arial"/>
        </w:rPr>
        <w:t>pay</w:t>
      </w:r>
      <w:r>
        <w:rPr>
          <w:rFonts w:ascii="Arial" w:hAnsi="Arial" w:cs="Arial"/>
        </w:rPr>
        <w:t>ments,</w:t>
      </w:r>
      <w:r w:rsidRPr="00B57BEA">
        <w:rPr>
          <w:rFonts w:ascii="Arial" w:hAnsi="Arial" w:cs="Arial"/>
        </w:rPr>
        <w:t xml:space="preserve"> </w:t>
      </w:r>
      <w:r>
        <w:rPr>
          <w:rFonts w:ascii="Arial" w:hAnsi="Arial" w:cs="Arial"/>
        </w:rPr>
        <w:t>g</w:t>
      </w:r>
      <w:r w:rsidR="000E5B67" w:rsidRPr="00B57BEA">
        <w:rPr>
          <w:rFonts w:ascii="Arial" w:hAnsi="Arial" w:cs="Arial"/>
        </w:rPr>
        <w:t>roup risk insurers help people in many other ways</w:t>
      </w:r>
      <w:r w:rsidR="002718DF">
        <w:rPr>
          <w:rFonts w:ascii="Arial" w:hAnsi="Arial" w:cs="Arial"/>
        </w:rPr>
        <w:t>.</w:t>
      </w:r>
      <w:r w:rsidR="000E5B67" w:rsidRPr="00B57BEA">
        <w:rPr>
          <w:rFonts w:ascii="Arial" w:hAnsi="Arial" w:cs="Arial"/>
        </w:rPr>
        <w:t xml:space="preserve"> </w:t>
      </w:r>
      <w:r w:rsidR="00B57BEA" w:rsidRPr="00B57BEA">
        <w:rPr>
          <w:rFonts w:ascii="Arial" w:hAnsi="Arial" w:cs="Arial"/>
        </w:rPr>
        <w:t>Julie’s story below</w:t>
      </w:r>
      <w:r>
        <w:rPr>
          <w:rFonts w:ascii="Arial" w:hAnsi="Arial" w:cs="Arial"/>
        </w:rPr>
        <w:t xml:space="preserve"> gives just one example of how group risk policies provide practical support for policy members</w:t>
      </w:r>
      <w:r w:rsidR="00B57BEA">
        <w:rPr>
          <w:rFonts w:ascii="Arial" w:hAnsi="Arial" w:cs="Arial"/>
        </w:rPr>
        <w:t xml:space="preserve">. </w:t>
      </w:r>
      <w:r w:rsidR="00F461DC">
        <w:rPr>
          <w:rFonts w:ascii="Arial" w:hAnsi="Arial" w:cs="Arial"/>
        </w:rPr>
        <w:t>L</w:t>
      </w:r>
      <w:r w:rsidR="007E0130">
        <w:rPr>
          <w:rFonts w:ascii="Arial" w:hAnsi="Arial" w:cs="Arial"/>
        </w:rPr>
        <w:t>i</w:t>
      </w:r>
      <w:r w:rsidR="00F461DC">
        <w:rPr>
          <w:rFonts w:ascii="Arial" w:hAnsi="Arial" w:cs="Arial"/>
        </w:rPr>
        <w:t>ke</w:t>
      </w:r>
      <w:r w:rsidR="00B57BEA">
        <w:rPr>
          <w:rFonts w:ascii="Arial" w:hAnsi="Arial" w:cs="Arial"/>
        </w:rPr>
        <w:t xml:space="preserve"> Julie, a t</w:t>
      </w:r>
      <w:r w:rsidR="00B77407" w:rsidRPr="00B57BEA">
        <w:rPr>
          <w:rFonts w:ascii="Arial" w:hAnsi="Arial" w:cs="Arial"/>
        </w:rPr>
        <w:t xml:space="preserve">otal of 4,944 people were helped back to work </w:t>
      </w:r>
      <w:r w:rsidR="003E2C56" w:rsidRPr="00B57BEA">
        <w:rPr>
          <w:rFonts w:ascii="Arial" w:hAnsi="Arial" w:cs="Arial"/>
        </w:rPr>
        <w:t xml:space="preserve">by group risk insurers </w:t>
      </w:r>
      <w:r w:rsidR="00B77407" w:rsidRPr="00B57BEA">
        <w:rPr>
          <w:rFonts w:ascii="Arial" w:hAnsi="Arial" w:cs="Arial"/>
        </w:rPr>
        <w:t>after a period of sick leave</w:t>
      </w:r>
      <w:r w:rsidR="00F461DC">
        <w:rPr>
          <w:rFonts w:ascii="Arial" w:hAnsi="Arial" w:cs="Arial"/>
        </w:rPr>
        <w:t>,</w:t>
      </w:r>
      <w:r w:rsidR="00B77407" w:rsidRPr="00B57BEA">
        <w:rPr>
          <w:rFonts w:ascii="Arial" w:hAnsi="Arial" w:cs="Arial"/>
        </w:rPr>
        <w:t xml:space="preserve"> and a further 7,879 people were assisted by the industry</w:t>
      </w:r>
      <w:r w:rsidR="003F5F95" w:rsidRPr="00B57BEA">
        <w:rPr>
          <w:rFonts w:ascii="Arial" w:hAnsi="Arial" w:cs="Arial"/>
        </w:rPr>
        <w:t xml:space="preserve"> during 2017</w:t>
      </w:r>
      <w:r w:rsidR="00B77407" w:rsidRPr="00B57BEA">
        <w:rPr>
          <w:rFonts w:ascii="Arial" w:hAnsi="Arial" w:cs="Arial"/>
        </w:rPr>
        <w:t xml:space="preserve"> through referrals to help and support</w:t>
      </w:r>
      <w:r w:rsidR="007E0130">
        <w:rPr>
          <w:rFonts w:ascii="Arial" w:hAnsi="Arial" w:cs="Arial"/>
        </w:rPr>
        <w:t xml:space="preserve"> funded by group risk insurers</w:t>
      </w:r>
      <w:r w:rsidR="00B77407" w:rsidRPr="00B57BEA">
        <w:rPr>
          <w:rFonts w:ascii="Arial" w:hAnsi="Arial" w:cs="Arial"/>
        </w:rPr>
        <w:t>.</w:t>
      </w:r>
      <w:r w:rsidR="00B57BEA">
        <w:rPr>
          <w:rFonts w:ascii="Arial" w:hAnsi="Arial" w:cs="Arial"/>
        </w:rPr>
        <w:t xml:space="preserve"> </w:t>
      </w:r>
    </w:p>
    <w:p w14:paraId="7295B751" w14:textId="77777777" w:rsidR="00EA0164" w:rsidRPr="00B57BEA" w:rsidRDefault="00EA0164" w:rsidP="00D1117B">
      <w:pPr>
        <w:pStyle w:val="NoSpacing"/>
        <w:rPr>
          <w:rFonts w:ascii="Arial" w:hAnsi="Arial" w:cs="Arial"/>
        </w:rPr>
      </w:pPr>
    </w:p>
    <w:p w14:paraId="74A68885" w14:textId="77777777" w:rsidR="002F16FA" w:rsidRPr="00B57BEA" w:rsidRDefault="002F16FA" w:rsidP="00D1117B">
      <w:pPr>
        <w:pStyle w:val="NoSpacing"/>
        <w:rPr>
          <w:rFonts w:ascii="Arial" w:hAnsi="Arial" w:cs="Arial"/>
          <w:b/>
        </w:rPr>
      </w:pPr>
      <w:r w:rsidRPr="00B57BEA">
        <w:rPr>
          <w:rFonts w:ascii="Arial" w:hAnsi="Arial" w:cs="Arial"/>
          <w:b/>
        </w:rPr>
        <w:t>Total benefits paid</w:t>
      </w:r>
    </w:p>
    <w:p w14:paraId="33D05E50" w14:textId="0507F8F0" w:rsidR="00D02F55" w:rsidRPr="00B57BEA" w:rsidRDefault="00F8005E" w:rsidP="00D1117B">
      <w:pPr>
        <w:pStyle w:val="NoSpacing"/>
        <w:rPr>
          <w:rFonts w:ascii="Arial" w:hAnsi="Arial" w:cs="Arial"/>
        </w:rPr>
      </w:pPr>
      <w:r w:rsidRPr="00B57BEA">
        <w:rPr>
          <w:rFonts w:ascii="Arial" w:hAnsi="Arial" w:cs="Arial"/>
        </w:rPr>
        <w:t>Group L</w:t>
      </w:r>
      <w:r w:rsidR="00EA0164" w:rsidRPr="00B57BEA">
        <w:rPr>
          <w:rFonts w:ascii="Arial" w:hAnsi="Arial" w:cs="Arial"/>
        </w:rPr>
        <w:t xml:space="preserve">ife </w:t>
      </w:r>
      <w:r w:rsidR="007C2AB8">
        <w:rPr>
          <w:rFonts w:ascii="Arial" w:hAnsi="Arial" w:cs="Arial"/>
        </w:rPr>
        <w:t xml:space="preserve">Assurance </w:t>
      </w:r>
      <w:r w:rsidR="00EA0164" w:rsidRPr="00B57BEA">
        <w:rPr>
          <w:rFonts w:ascii="Arial" w:hAnsi="Arial" w:cs="Arial"/>
        </w:rPr>
        <w:t>policies paid out total benefits to the value of £1.</w:t>
      </w:r>
      <w:r w:rsidR="005140E1">
        <w:rPr>
          <w:rFonts w:ascii="Arial" w:hAnsi="Arial" w:cs="Arial"/>
        </w:rPr>
        <w:t>067</w:t>
      </w:r>
      <w:r w:rsidR="00EA0164" w:rsidRPr="00B57BEA">
        <w:rPr>
          <w:rFonts w:ascii="Arial" w:hAnsi="Arial" w:cs="Arial"/>
        </w:rPr>
        <w:t xml:space="preserve"> billion</w:t>
      </w:r>
      <w:r w:rsidR="0077230E" w:rsidRPr="00B57BEA">
        <w:rPr>
          <w:rFonts w:ascii="Arial" w:hAnsi="Arial" w:cs="Arial"/>
        </w:rPr>
        <w:t xml:space="preserve"> (</w:t>
      </w:r>
      <w:r w:rsidR="005140E1">
        <w:rPr>
          <w:rFonts w:ascii="Arial" w:hAnsi="Arial" w:cs="Arial"/>
        </w:rPr>
        <w:t>on a par with</w:t>
      </w:r>
      <w:r w:rsidR="008F5014">
        <w:rPr>
          <w:rFonts w:ascii="Arial" w:hAnsi="Arial" w:cs="Arial"/>
        </w:rPr>
        <w:t xml:space="preserve"> </w:t>
      </w:r>
      <w:r w:rsidR="0077230E" w:rsidRPr="00B57BEA">
        <w:rPr>
          <w:rFonts w:ascii="Arial" w:hAnsi="Arial" w:cs="Arial"/>
        </w:rPr>
        <w:t>2016)</w:t>
      </w:r>
      <w:r w:rsidR="00EA0164" w:rsidRPr="00B57BEA">
        <w:rPr>
          <w:rFonts w:ascii="Arial" w:hAnsi="Arial" w:cs="Arial"/>
        </w:rPr>
        <w:t>; Group Income Protection policies paid out</w:t>
      </w:r>
      <w:r w:rsidR="003E14D0" w:rsidRPr="00B57BEA">
        <w:rPr>
          <w:rFonts w:ascii="Arial" w:hAnsi="Arial" w:cs="Arial"/>
        </w:rPr>
        <w:t xml:space="preserve"> </w:t>
      </w:r>
      <w:r w:rsidR="00EA0164" w:rsidRPr="00B57BEA">
        <w:rPr>
          <w:rFonts w:ascii="Arial" w:hAnsi="Arial" w:cs="Arial"/>
        </w:rPr>
        <w:t>a total of £</w:t>
      </w:r>
      <w:r w:rsidR="009F0615" w:rsidRPr="00B57BEA">
        <w:rPr>
          <w:rFonts w:ascii="Arial" w:hAnsi="Arial" w:cs="Arial"/>
        </w:rPr>
        <w:t>466</w:t>
      </w:r>
      <w:r w:rsidR="00EA0164" w:rsidRPr="00B57BEA">
        <w:rPr>
          <w:rFonts w:ascii="Arial" w:hAnsi="Arial" w:cs="Arial"/>
        </w:rPr>
        <w:t>.</w:t>
      </w:r>
      <w:r w:rsidR="009F0615" w:rsidRPr="00B57BEA">
        <w:rPr>
          <w:rFonts w:ascii="Arial" w:hAnsi="Arial" w:cs="Arial"/>
        </w:rPr>
        <w:t>5</w:t>
      </w:r>
      <w:r w:rsidR="00EA0164" w:rsidRPr="00B57BEA">
        <w:rPr>
          <w:rFonts w:ascii="Arial" w:hAnsi="Arial" w:cs="Arial"/>
        </w:rPr>
        <w:t xml:space="preserve"> million </w:t>
      </w:r>
      <w:r w:rsidR="00F01694" w:rsidRPr="00B57BEA">
        <w:rPr>
          <w:rFonts w:ascii="Arial" w:hAnsi="Arial" w:cs="Arial"/>
        </w:rPr>
        <w:t>p.a.</w:t>
      </w:r>
      <w:r w:rsidR="0077230E" w:rsidRPr="00B57BEA">
        <w:rPr>
          <w:rFonts w:ascii="Arial" w:hAnsi="Arial" w:cs="Arial"/>
        </w:rPr>
        <w:t>(an increase of £107.8 million p.a. over 2016)</w:t>
      </w:r>
      <w:r w:rsidR="00EA0164" w:rsidRPr="00B57BEA">
        <w:rPr>
          <w:rFonts w:ascii="Arial" w:hAnsi="Arial" w:cs="Arial"/>
        </w:rPr>
        <w:t>; Group Critical Illness policies paid out benefits totalling £</w:t>
      </w:r>
      <w:r w:rsidR="009F0615" w:rsidRPr="00B57BEA">
        <w:rPr>
          <w:rFonts w:ascii="Arial" w:hAnsi="Arial" w:cs="Arial"/>
        </w:rPr>
        <w:t>84.3</w:t>
      </w:r>
      <w:r w:rsidR="00EA0164" w:rsidRPr="00B57BEA">
        <w:rPr>
          <w:rFonts w:ascii="Arial" w:hAnsi="Arial" w:cs="Arial"/>
        </w:rPr>
        <w:t xml:space="preserve"> million</w:t>
      </w:r>
      <w:r w:rsidR="0077230E" w:rsidRPr="00B57BEA">
        <w:rPr>
          <w:rFonts w:ascii="Arial" w:hAnsi="Arial" w:cs="Arial"/>
        </w:rPr>
        <w:t xml:space="preserve"> (an increase of £12.7 million over 2016)</w:t>
      </w:r>
      <w:r w:rsidR="00EA0164" w:rsidRPr="00B57BEA">
        <w:rPr>
          <w:rFonts w:ascii="Arial" w:hAnsi="Arial" w:cs="Arial"/>
        </w:rPr>
        <w:t xml:space="preserve">. </w:t>
      </w:r>
    </w:p>
    <w:p w14:paraId="5BBEF09D" w14:textId="77777777" w:rsidR="00D02F55" w:rsidRPr="00B57BEA" w:rsidRDefault="00D02F55" w:rsidP="00D1117B">
      <w:pPr>
        <w:pStyle w:val="NoSpacing"/>
        <w:rPr>
          <w:rFonts w:ascii="Arial" w:hAnsi="Arial" w:cs="Arial"/>
        </w:rPr>
      </w:pPr>
    </w:p>
    <w:p w14:paraId="7C77E671" w14:textId="071B5898" w:rsidR="00F6374A" w:rsidRPr="00B57BEA" w:rsidRDefault="00F6374A" w:rsidP="00D1117B">
      <w:pPr>
        <w:pStyle w:val="NoSpacing"/>
        <w:rPr>
          <w:rFonts w:ascii="Arial" w:hAnsi="Arial" w:cs="Arial"/>
        </w:rPr>
      </w:pPr>
      <w:r w:rsidRPr="00B57BEA">
        <w:rPr>
          <w:rFonts w:ascii="Arial" w:hAnsi="Arial" w:cs="Arial"/>
        </w:rPr>
        <w:t>The average claim amounts (</w:t>
      </w:r>
      <w:r w:rsidRPr="00B57BEA">
        <w:rPr>
          <w:rFonts w:ascii="Arial" w:eastAsia="Times New Roman" w:hAnsi="Arial" w:cs="Arial"/>
          <w:color w:val="000000"/>
          <w:lang w:eastAsia="en-GB"/>
        </w:rPr>
        <w:t>£11</w:t>
      </w:r>
      <w:r w:rsidR="0077230E" w:rsidRPr="00B57BEA">
        <w:rPr>
          <w:rFonts w:ascii="Arial" w:eastAsia="Times New Roman" w:hAnsi="Arial" w:cs="Arial"/>
          <w:color w:val="000000"/>
          <w:lang w:eastAsia="en-GB"/>
        </w:rPr>
        <w:t>3,479</w:t>
      </w:r>
      <w:r w:rsidRPr="00B57BEA">
        <w:rPr>
          <w:rFonts w:ascii="Arial" w:eastAsia="Times New Roman" w:hAnsi="Arial" w:cs="Arial"/>
          <w:color w:val="000000"/>
          <w:lang w:eastAsia="en-GB"/>
        </w:rPr>
        <w:t xml:space="preserve"> for </w:t>
      </w:r>
      <w:r w:rsidR="004345D1">
        <w:rPr>
          <w:rFonts w:ascii="Arial" w:eastAsia="Times New Roman" w:hAnsi="Arial" w:cs="Arial"/>
          <w:color w:val="000000"/>
          <w:lang w:eastAsia="en-GB"/>
        </w:rPr>
        <w:t>g</w:t>
      </w:r>
      <w:r w:rsidRPr="00B57BEA">
        <w:rPr>
          <w:rFonts w:ascii="Arial" w:eastAsia="Times New Roman" w:hAnsi="Arial" w:cs="Arial"/>
          <w:color w:val="000000"/>
          <w:lang w:eastAsia="en-GB"/>
        </w:rPr>
        <w:t xml:space="preserve">roup </w:t>
      </w:r>
      <w:r w:rsidR="004345D1">
        <w:rPr>
          <w:rFonts w:ascii="Arial" w:eastAsia="Times New Roman" w:hAnsi="Arial" w:cs="Arial"/>
          <w:color w:val="000000"/>
          <w:lang w:eastAsia="en-GB"/>
        </w:rPr>
        <w:t>l</w:t>
      </w:r>
      <w:r w:rsidRPr="00B57BEA">
        <w:rPr>
          <w:rFonts w:ascii="Arial" w:eastAsia="Times New Roman" w:hAnsi="Arial" w:cs="Arial"/>
          <w:color w:val="000000"/>
          <w:lang w:eastAsia="en-GB"/>
        </w:rPr>
        <w:t xml:space="preserve">ife; </w:t>
      </w:r>
      <w:r w:rsidR="00685D65">
        <w:rPr>
          <w:rFonts w:ascii="Arial" w:eastAsia="Times New Roman" w:hAnsi="Arial" w:cs="Arial"/>
          <w:color w:val="000000"/>
          <w:lang w:eastAsia="en-GB"/>
        </w:rPr>
        <w:t>£</w:t>
      </w:r>
      <w:r w:rsidR="00685D65" w:rsidRPr="00685D65">
        <w:rPr>
          <w:rFonts w:ascii="Arial" w:eastAsia="Times New Roman" w:hAnsi="Arial" w:cs="Arial"/>
          <w:color w:val="000000"/>
          <w:lang w:eastAsia="en-GB"/>
        </w:rPr>
        <w:t>24,257</w:t>
      </w:r>
      <w:r w:rsidRPr="00B57BEA">
        <w:rPr>
          <w:rFonts w:ascii="Arial" w:eastAsia="Times New Roman" w:hAnsi="Arial" w:cs="Arial"/>
          <w:color w:val="000000"/>
          <w:lang w:eastAsia="en-GB"/>
        </w:rPr>
        <w:t xml:space="preserve"> p</w:t>
      </w:r>
      <w:r w:rsidR="00E36B73" w:rsidRPr="00B57BEA">
        <w:rPr>
          <w:rFonts w:ascii="Arial" w:eastAsia="Times New Roman" w:hAnsi="Arial" w:cs="Arial"/>
          <w:color w:val="000000"/>
          <w:lang w:eastAsia="en-GB"/>
        </w:rPr>
        <w:t>.</w:t>
      </w:r>
      <w:r w:rsidRPr="00B57BEA">
        <w:rPr>
          <w:rFonts w:ascii="Arial" w:eastAsia="Times New Roman" w:hAnsi="Arial" w:cs="Arial"/>
          <w:color w:val="000000"/>
          <w:lang w:eastAsia="en-GB"/>
        </w:rPr>
        <w:t>a</w:t>
      </w:r>
      <w:r w:rsidR="00E36B73" w:rsidRPr="00B57BEA">
        <w:rPr>
          <w:rFonts w:ascii="Arial" w:eastAsia="Times New Roman" w:hAnsi="Arial" w:cs="Arial"/>
          <w:color w:val="000000"/>
          <w:lang w:eastAsia="en-GB"/>
        </w:rPr>
        <w:t>.</w:t>
      </w:r>
      <w:r w:rsidRPr="00B57BEA">
        <w:rPr>
          <w:rFonts w:ascii="Arial" w:hAnsi="Arial" w:cs="Arial"/>
        </w:rPr>
        <w:t xml:space="preserve"> for </w:t>
      </w:r>
      <w:r w:rsidR="004345D1">
        <w:rPr>
          <w:rFonts w:ascii="Arial" w:hAnsi="Arial" w:cs="Arial"/>
        </w:rPr>
        <w:t>g</w:t>
      </w:r>
      <w:r w:rsidRPr="00B57BEA">
        <w:rPr>
          <w:rFonts w:ascii="Arial" w:hAnsi="Arial" w:cs="Arial"/>
        </w:rPr>
        <w:t xml:space="preserve">roup </w:t>
      </w:r>
      <w:r w:rsidR="004345D1">
        <w:rPr>
          <w:rFonts w:ascii="Arial" w:hAnsi="Arial" w:cs="Arial"/>
        </w:rPr>
        <w:t>i</w:t>
      </w:r>
      <w:r w:rsidRPr="00B57BEA">
        <w:rPr>
          <w:rFonts w:ascii="Arial" w:hAnsi="Arial" w:cs="Arial"/>
        </w:rPr>
        <w:t xml:space="preserve">ncome </w:t>
      </w:r>
      <w:r w:rsidR="004345D1">
        <w:rPr>
          <w:rFonts w:ascii="Arial" w:hAnsi="Arial" w:cs="Arial"/>
        </w:rPr>
        <w:t>p</w:t>
      </w:r>
      <w:r w:rsidRPr="00B57BEA">
        <w:rPr>
          <w:rFonts w:ascii="Arial" w:hAnsi="Arial" w:cs="Arial"/>
        </w:rPr>
        <w:t xml:space="preserve">rotection; </w:t>
      </w:r>
      <w:r w:rsidRPr="00B57BEA">
        <w:rPr>
          <w:rFonts w:ascii="Arial" w:eastAsia="Times New Roman" w:hAnsi="Arial" w:cs="Arial"/>
          <w:color w:val="000000"/>
          <w:lang w:eastAsia="en-GB"/>
        </w:rPr>
        <w:t>£</w:t>
      </w:r>
      <w:r w:rsidR="0077230E" w:rsidRPr="00B57BEA">
        <w:rPr>
          <w:rFonts w:ascii="Arial" w:eastAsia="Times New Roman" w:hAnsi="Arial" w:cs="Arial"/>
          <w:color w:val="000000"/>
          <w:lang w:eastAsia="en-GB"/>
        </w:rPr>
        <w:t>71,463</w:t>
      </w:r>
      <w:r w:rsidRPr="00B57BEA">
        <w:rPr>
          <w:rFonts w:ascii="Arial" w:eastAsia="Times New Roman" w:hAnsi="Arial" w:cs="Arial"/>
          <w:color w:val="000000"/>
          <w:lang w:eastAsia="en-GB"/>
        </w:rPr>
        <w:t xml:space="preserve"> for </w:t>
      </w:r>
      <w:r w:rsidR="004345D1">
        <w:rPr>
          <w:rFonts w:ascii="Arial" w:eastAsia="Times New Roman" w:hAnsi="Arial" w:cs="Arial"/>
          <w:color w:val="000000"/>
          <w:lang w:eastAsia="en-GB"/>
        </w:rPr>
        <w:t>g</w:t>
      </w:r>
      <w:r w:rsidRPr="00B57BEA">
        <w:rPr>
          <w:rFonts w:ascii="Arial" w:eastAsia="Times New Roman" w:hAnsi="Arial" w:cs="Arial"/>
          <w:color w:val="000000"/>
          <w:lang w:eastAsia="en-GB"/>
        </w:rPr>
        <w:t xml:space="preserve">roup </w:t>
      </w:r>
      <w:r w:rsidR="004345D1">
        <w:rPr>
          <w:rFonts w:ascii="Arial" w:eastAsia="Times New Roman" w:hAnsi="Arial" w:cs="Arial"/>
          <w:color w:val="000000"/>
          <w:lang w:eastAsia="en-GB"/>
        </w:rPr>
        <w:t>c</w:t>
      </w:r>
      <w:r w:rsidRPr="00B57BEA">
        <w:rPr>
          <w:rFonts w:ascii="Arial" w:eastAsia="Times New Roman" w:hAnsi="Arial" w:cs="Arial"/>
          <w:color w:val="000000"/>
          <w:lang w:eastAsia="en-GB"/>
        </w:rPr>
        <w:t xml:space="preserve">ritical </w:t>
      </w:r>
      <w:r w:rsidR="004345D1">
        <w:rPr>
          <w:rFonts w:ascii="Arial" w:eastAsia="Times New Roman" w:hAnsi="Arial" w:cs="Arial"/>
          <w:color w:val="000000"/>
          <w:lang w:eastAsia="en-GB"/>
        </w:rPr>
        <w:t>i</w:t>
      </w:r>
      <w:r w:rsidRPr="00B57BEA">
        <w:rPr>
          <w:rFonts w:ascii="Arial" w:eastAsia="Times New Roman" w:hAnsi="Arial" w:cs="Arial"/>
          <w:color w:val="000000"/>
          <w:lang w:eastAsia="en-GB"/>
        </w:rPr>
        <w:t xml:space="preserve">llness) </w:t>
      </w:r>
      <w:r w:rsidR="0077230E" w:rsidRPr="00B57BEA">
        <w:rPr>
          <w:rFonts w:ascii="Arial" w:eastAsia="Times New Roman" w:hAnsi="Arial" w:cs="Arial"/>
          <w:color w:val="000000"/>
          <w:lang w:eastAsia="en-GB"/>
        </w:rPr>
        <w:t xml:space="preserve">again </w:t>
      </w:r>
      <w:r w:rsidRPr="00B57BEA">
        <w:rPr>
          <w:rFonts w:ascii="Arial" w:hAnsi="Arial" w:cs="Arial"/>
        </w:rPr>
        <w:t>demonstrate that these are not just benefits for top earners</w:t>
      </w:r>
      <w:r w:rsidR="008872CE" w:rsidRPr="00B57BEA">
        <w:rPr>
          <w:rFonts w:ascii="Arial" w:hAnsi="Arial" w:cs="Arial"/>
        </w:rPr>
        <w:t xml:space="preserve"> – these </w:t>
      </w:r>
      <w:r w:rsidR="0077230E" w:rsidRPr="00B57BEA">
        <w:rPr>
          <w:rFonts w:ascii="Arial" w:hAnsi="Arial" w:cs="Arial"/>
        </w:rPr>
        <w:t xml:space="preserve">benefits throw a vital financial lifeline to people at the worst times, </w:t>
      </w:r>
      <w:r w:rsidRPr="00B57BEA">
        <w:rPr>
          <w:rFonts w:ascii="Arial" w:hAnsi="Arial" w:cs="Arial"/>
        </w:rPr>
        <w:t>regardless of their salary, age or position</w:t>
      </w:r>
      <w:r w:rsidR="0077230E" w:rsidRPr="00B57BEA">
        <w:rPr>
          <w:rFonts w:ascii="Arial" w:hAnsi="Arial" w:cs="Arial"/>
        </w:rPr>
        <w:t>.</w:t>
      </w:r>
    </w:p>
    <w:p w14:paraId="5F2E2920" w14:textId="08EC8B4B" w:rsidR="00A03696" w:rsidRPr="00B57BEA" w:rsidRDefault="00A03696" w:rsidP="00D1117B">
      <w:pPr>
        <w:pStyle w:val="NoSpacing"/>
        <w:rPr>
          <w:rFonts w:ascii="Arial" w:hAnsi="Arial" w:cs="Arial"/>
        </w:rPr>
      </w:pPr>
    </w:p>
    <w:p w14:paraId="5896AC1B" w14:textId="0DA165B4" w:rsidR="00A03696" w:rsidRPr="00B57BEA" w:rsidRDefault="00316200" w:rsidP="00A03696">
      <w:pPr>
        <w:pStyle w:val="NoSpacing"/>
        <w:rPr>
          <w:rFonts w:ascii="Arial" w:hAnsi="Arial" w:cs="Arial"/>
          <w:b/>
          <w:i/>
        </w:rPr>
      </w:pPr>
      <w:r w:rsidRPr="00316200">
        <w:rPr>
          <w:rFonts w:ascii="Arial" w:hAnsi="Arial" w:cs="Arial"/>
          <w:b/>
        </w:rPr>
        <w:t>T</w:t>
      </w:r>
      <w:r w:rsidR="00A03696" w:rsidRPr="00316200">
        <w:rPr>
          <w:rFonts w:ascii="Arial" w:hAnsi="Arial" w:cs="Arial"/>
          <w:b/>
        </w:rPr>
        <w:t>otal claims paid</w:t>
      </w:r>
      <w:r w:rsidR="00BE09D0" w:rsidRPr="00316200">
        <w:rPr>
          <w:rFonts w:ascii="Arial" w:hAnsi="Arial" w:cs="Arial"/>
          <w:b/>
        </w:rPr>
        <w:t xml:space="preserve"> and </w:t>
      </w:r>
      <w:r w:rsidR="00A03696" w:rsidRPr="00316200">
        <w:rPr>
          <w:rFonts w:ascii="Arial" w:hAnsi="Arial" w:cs="Arial"/>
          <w:b/>
        </w:rPr>
        <w:t xml:space="preserve">average </w:t>
      </w:r>
      <w:r w:rsidR="00685D65" w:rsidRPr="00316200">
        <w:rPr>
          <w:rFonts w:ascii="Arial" w:hAnsi="Arial" w:cs="Arial"/>
          <w:b/>
        </w:rPr>
        <w:t xml:space="preserve">new </w:t>
      </w:r>
      <w:r w:rsidR="00A03696" w:rsidRPr="00316200">
        <w:rPr>
          <w:rFonts w:ascii="Arial" w:hAnsi="Arial" w:cs="Arial"/>
          <w:b/>
        </w:rPr>
        <w:t>claim amount</w:t>
      </w:r>
      <w:r w:rsidR="00BE09D0" w:rsidRPr="00316200">
        <w:rPr>
          <w:rFonts w:ascii="Arial" w:hAnsi="Arial" w:cs="Arial"/>
          <w:b/>
        </w:rPr>
        <w:t>s</w:t>
      </w:r>
    </w:p>
    <w:p w14:paraId="204F2372" w14:textId="170F95C6" w:rsidR="00A03696" w:rsidRPr="00B57BEA" w:rsidRDefault="00A03696" w:rsidP="00A03696">
      <w:pPr>
        <w:pStyle w:val="NoSpacing"/>
        <w:rPr>
          <w:rFonts w:ascii="Arial" w:hAnsi="Arial" w:cs="Arial"/>
          <w:b/>
          <w:i/>
        </w:rPr>
      </w:pPr>
    </w:p>
    <w:tbl>
      <w:tblPr>
        <w:tblW w:w="10871" w:type="dxa"/>
        <w:jc w:val="center"/>
        <w:tblLook w:val="04A0" w:firstRow="1" w:lastRow="0" w:firstColumn="1" w:lastColumn="0" w:noHBand="0" w:noVBand="1"/>
      </w:tblPr>
      <w:tblGrid>
        <w:gridCol w:w="2815"/>
        <w:gridCol w:w="1512"/>
        <w:gridCol w:w="2291"/>
        <w:gridCol w:w="2410"/>
        <w:gridCol w:w="1843"/>
      </w:tblGrid>
      <w:tr w:rsidR="00A03696" w:rsidRPr="00B57BEA" w14:paraId="1A8E44BC"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09D812F7"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Benefit</w:t>
            </w:r>
          </w:p>
        </w:tc>
        <w:tc>
          <w:tcPr>
            <w:tcW w:w="1512" w:type="dxa"/>
            <w:tcBorders>
              <w:top w:val="single" w:sz="8" w:space="0" w:color="auto"/>
              <w:left w:val="nil"/>
              <w:bottom w:val="single" w:sz="8" w:space="0" w:color="auto"/>
              <w:right w:val="single" w:sz="8" w:space="0" w:color="auto"/>
            </w:tcBorders>
            <w:shd w:val="clear" w:color="auto" w:fill="7030A0"/>
            <w:vAlign w:val="bottom"/>
          </w:tcPr>
          <w:p w14:paraId="415C5643"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No. of claims</w:t>
            </w:r>
          </w:p>
        </w:tc>
        <w:tc>
          <w:tcPr>
            <w:tcW w:w="2291" w:type="dxa"/>
            <w:tcBorders>
              <w:top w:val="single" w:sz="8" w:space="0" w:color="auto"/>
              <w:left w:val="nil"/>
              <w:bottom w:val="single" w:sz="8" w:space="0" w:color="auto"/>
              <w:right w:val="single" w:sz="8" w:space="0" w:color="auto"/>
            </w:tcBorders>
            <w:shd w:val="clear" w:color="auto" w:fill="7030A0"/>
            <w:vAlign w:val="bottom"/>
          </w:tcPr>
          <w:p w14:paraId="0E661B97"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Value of claims paid*</w:t>
            </w:r>
          </w:p>
        </w:tc>
        <w:tc>
          <w:tcPr>
            <w:tcW w:w="2410" w:type="dxa"/>
            <w:tcBorders>
              <w:top w:val="single" w:sz="8" w:space="0" w:color="auto"/>
              <w:left w:val="nil"/>
              <w:bottom w:val="single" w:sz="8" w:space="0" w:color="auto"/>
              <w:right w:val="single" w:sz="8" w:space="0" w:color="auto"/>
            </w:tcBorders>
            <w:shd w:val="clear" w:color="auto" w:fill="7030A0"/>
            <w:vAlign w:val="bottom"/>
          </w:tcPr>
          <w:p w14:paraId="7E3D1BC3" w14:textId="5D535B4D" w:rsidR="00A03696" w:rsidRPr="00B57BEA" w:rsidRDefault="00A03696" w:rsidP="00B75A1C">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 xml:space="preserve">Average </w:t>
            </w:r>
            <w:r w:rsidR="00B75A1C">
              <w:rPr>
                <w:rFonts w:ascii="Arial" w:eastAsia="Times New Roman" w:hAnsi="Arial" w:cs="Arial"/>
                <w:color w:val="FFFFFF"/>
                <w:lang w:eastAsia="en-GB"/>
              </w:rPr>
              <w:t xml:space="preserve">new </w:t>
            </w:r>
            <w:r w:rsidRPr="00B57BEA">
              <w:rPr>
                <w:rFonts w:ascii="Arial" w:eastAsia="Times New Roman" w:hAnsi="Arial" w:cs="Arial"/>
                <w:color w:val="FFFFFF"/>
                <w:lang w:eastAsia="en-GB"/>
              </w:rPr>
              <w:t>claim amount</w:t>
            </w:r>
          </w:p>
        </w:tc>
        <w:tc>
          <w:tcPr>
            <w:tcW w:w="1843" w:type="dxa"/>
            <w:tcBorders>
              <w:top w:val="single" w:sz="8" w:space="0" w:color="auto"/>
              <w:left w:val="nil"/>
              <w:bottom w:val="single" w:sz="8" w:space="0" w:color="auto"/>
              <w:right w:val="single" w:sz="8" w:space="0" w:color="auto"/>
            </w:tcBorders>
            <w:shd w:val="clear" w:color="auto" w:fill="7030A0"/>
          </w:tcPr>
          <w:p w14:paraId="095EF29E"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 of new claims paid for 2017</w:t>
            </w:r>
          </w:p>
        </w:tc>
      </w:tr>
      <w:tr w:rsidR="00A03696" w:rsidRPr="00B57BEA" w14:paraId="5A48CB74"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5EEF8FA6" w14:textId="5FFD6282" w:rsidR="00A03696" w:rsidRPr="00B57BEA" w:rsidRDefault="00A03696"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Life</w:t>
            </w:r>
            <w:r w:rsidR="00316200">
              <w:rPr>
                <w:rFonts w:ascii="Arial" w:eastAsia="Times New Roman" w:hAnsi="Arial" w:cs="Arial"/>
                <w:color w:val="000000"/>
                <w:lang w:eastAsia="en-GB"/>
              </w:rPr>
              <w:t xml:space="preserve"> Assurance</w:t>
            </w:r>
          </w:p>
        </w:tc>
        <w:tc>
          <w:tcPr>
            <w:tcW w:w="1512" w:type="dxa"/>
            <w:tcBorders>
              <w:top w:val="nil"/>
              <w:left w:val="nil"/>
              <w:bottom w:val="single" w:sz="4" w:space="0" w:color="auto"/>
              <w:right w:val="single" w:sz="4" w:space="0" w:color="auto"/>
            </w:tcBorders>
            <w:noWrap/>
            <w:vAlign w:val="bottom"/>
          </w:tcPr>
          <w:p w14:paraId="2766CBB7" w14:textId="77777777" w:rsidR="00A03696" w:rsidRPr="00B57BEA" w:rsidRDefault="00A03696" w:rsidP="00FC2076">
            <w:pPr>
              <w:spacing w:after="0" w:line="240" w:lineRule="auto"/>
              <w:jc w:val="right"/>
              <w:rPr>
                <w:rFonts w:ascii="Arial" w:eastAsia="Times New Roman" w:hAnsi="Arial" w:cs="Arial"/>
                <w:color w:val="000000"/>
                <w:lang w:eastAsia="en-GB"/>
              </w:rPr>
            </w:pPr>
            <w:r w:rsidRPr="00B57BEA">
              <w:rPr>
                <w:rFonts w:ascii="Arial" w:eastAsia="Times New Roman" w:hAnsi="Arial" w:cs="Arial"/>
                <w:color w:val="000000"/>
                <w:lang w:eastAsia="en-GB"/>
              </w:rPr>
              <w:t>9,404</w:t>
            </w:r>
          </w:p>
        </w:tc>
        <w:tc>
          <w:tcPr>
            <w:tcW w:w="2291" w:type="dxa"/>
            <w:tcBorders>
              <w:top w:val="nil"/>
              <w:left w:val="nil"/>
              <w:bottom w:val="single" w:sz="4" w:space="0" w:color="auto"/>
              <w:right w:val="single" w:sz="4" w:space="0" w:color="auto"/>
            </w:tcBorders>
            <w:noWrap/>
            <w:vAlign w:val="bottom"/>
          </w:tcPr>
          <w:p w14:paraId="2DA2015A" w14:textId="77777777"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£1,067m</w:t>
            </w:r>
          </w:p>
        </w:tc>
        <w:tc>
          <w:tcPr>
            <w:tcW w:w="2410" w:type="dxa"/>
            <w:tcBorders>
              <w:top w:val="nil"/>
              <w:left w:val="nil"/>
              <w:bottom w:val="single" w:sz="4" w:space="0" w:color="auto"/>
              <w:right w:val="single" w:sz="4" w:space="0" w:color="auto"/>
            </w:tcBorders>
            <w:noWrap/>
            <w:vAlign w:val="bottom"/>
          </w:tcPr>
          <w:p w14:paraId="3B1A9351" w14:textId="77777777"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£113,479</w:t>
            </w:r>
          </w:p>
        </w:tc>
        <w:tc>
          <w:tcPr>
            <w:tcW w:w="1843" w:type="dxa"/>
            <w:tcBorders>
              <w:top w:val="nil"/>
              <w:left w:val="nil"/>
              <w:bottom w:val="single" w:sz="4" w:space="0" w:color="auto"/>
              <w:right w:val="single" w:sz="4" w:space="0" w:color="auto"/>
            </w:tcBorders>
          </w:tcPr>
          <w:p w14:paraId="0592580E" w14:textId="77777777" w:rsidR="00A03696" w:rsidRPr="00B57BEA" w:rsidRDefault="00A03696" w:rsidP="00FC2076">
            <w:pPr>
              <w:spacing w:after="0" w:line="240" w:lineRule="auto"/>
              <w:jc w:val="center"/>
              <w:rPr>
                <w:rFonts w:ascii="Arial" w:eastAsia="Times New Roman" w:hAnsi="Arial" w:cs="Arial"/>
                <w:lang w:eastAsia="en-GB"/>
              </w:rPr>
            </w:pPr>
            <w:r w:rsidRPr="00B57BEA">
              <w:rPr>
                <w:rFonts w:ascii="Arial" w:eastAsia="Times New Roman" w:hAnsi="Arial" w:cs="Arial"/>
                <w:lang w:eastAsia="en-GB"/>
              </w:rPr>
              <w:t>99.8%</w:t>
            </w:r>
          </w:p>
        </w:tc>
      </w:tr>
      <w:tr w:rsidR="00A03696" w:rsidRPr="00B57BEA" w14:paraId="36E84885"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35B20E16" w14:textId="77777777" w:rsidR="00A03696" w:rsidRPr="00B57BEA" w:rsidRDefault="00A03696"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Income Protection</w:t>
            </w:r>
          </w:p>
        </w:tc>
        <w:tc>
          <w:tcPr>
            <w:tcW w:w="1512" w:type="dxa"/>
            <w:tcBorders>
              <w:top w:val="nil"/>
              <w:left w:val="nil"/>
              <w:bottom w:val="single" w:sz="4" w:space="0" w:color="auto"/>
              <w:right w:val="single" w:sz="4" w:space="0" w:color="auto"/>
            </w:tcBorders>
            <w:noWrap/>
            <w:vAlign w:val="bottom"/>
          </w:tcPr>
          <w:p w14:paraId="0AD33FE2" w14:textId="77777777" w:rsidR="00A03696" w:rsidRPr="00B57BEA" w:rsidRDefault="00A03696" w:rsidP="00FC2076">
            <w:pPr>
              <w:spacing w:after="0" w:line="240" w:lineRule="auto"/>
              <w:jc w:val="right"/>
              <w:rPr>
                <w:rFonts w:ascii="Arial" w:eastAsia="Times New Roman" w:hAnsi="Arial" w:cs="Arial"/>
                <w:color w:val="000000"/>
                <w:highlight w:val="yellow"/>
                <w:lang w:eastAsia="en-GB"/>
              </w:rPr>
            </w:pPr>
            <w:r w:rsidRPr="00794088">
              <w:rPr>
                <w:rFonts w:ascii="Arial" w:eastAsia="Times New Roman" w:hAnsi="Arial" w:cs="Arial"/>
                <w:color w:val="000000"/>
                <w:lang w:eastAsia="en-GB"/>
              </w:rPr>
              <w:t>15,322</w:t>
            </w:r>
          </w:p>
        </w:tc>
        <w:tc>
          <w:tcPr>
            <w:tcW w:w="2291" w:type="dxa"/>
            <w:tcBorders>
              <w:top w:val="nil"/>
              <w:left w:val="nil"/>
              <w:bottom w:val="single" w:sz="4" w:space="0" w:color="auto"/>
              <w:right w:val="single" w:sz="4" w:space="0" w:color="auto"/>
            </w:tcBorders>
            <w:noWrap/>
            <w:vAlign w:val="bottom"/>
          </w:tcPr>
          <w:p w14:paraId="65466511" w14:textId="1B78645E" w:rsidR="00A03696" w:rsidRPr="00B57BEA" w:rsidRDefault="00A03696" w:rsidP="00FC2076">
            <w:pPr>
              <w:spacing w:after="0" w:line="240" w:lineRule="auto"/>
              <w:jc w:val="center"/>
              <w:rPr>
                <w:rFonts w:ascii="Arial" w:eastAsia="Times New Roman" w:hAnsi="Arial" w:cs="Arial"/>
                <w:color w:val="000000"/>
                <w:highlight w:val="yellow"/>
                <w:lang w:eastAsia="en-GB"/>
              </w:rPr>
            </w:pPr>
            <w:r w:rsidRPr="00794088">
              <w:rPr>
                <w:rFonts w:ascii="Arial" w:eastAsia="Times New Roman" w:hAnsi="Arial" w:cs="Arial"/>
                <w:color w:val="000000"/>
                <w:lang w:eastAsia="en-GB"/>
              </w:rPr>
              <w:t>£</w:t>
            </w:r>
            <w:r w:rsidR="00794088">
              <w:rPr>
                <w:rFonts w:ascii="Arial" w:eastAsia="Times New Roman" w:hAnsi="Arial" w:cs="Arial"/>
                <w:color w:val="000000"/>
                <w:lang w:eastAsia="en-GB"/>
              </w:rPr>
              <w:t>466.</w:t>
            </w:r>
            <w:r w:rsidR="00AC460D">
              <w:rPr>
                <w:rFonts w:ascii="Arial" w:eastAsia="Times New Roman" w:hAnsi="Arial" w:cs="Arial"/>
                <w:color w:val="000000"/>
                <w:lang w:eastAsia="en-GB"/>
              </w:rPr>
              <w:t>5</w:t>
            </w:r>
            <w:r w:rsidRPr="00794088">
              <w:rPr>
                <w:rFonts w:ascii="Arial" w:eastAsia="Times New Roman" w:hAnsi="Arial" w:cs="Arial"/>
                <w:color w:val="000000"/>
                <w:lang w:eastAsia="en-GB"/>
              </w:rPr>
              <w:t>m pa **</w:t>
            </w:r>
          </w:p>
        </w:tc>
        <w:tc>
          <w:tcPr>
            <w:tcW w:w="2410" w:type="dxa"/>
            <w:tcBorders>
              <w:top w:val="nil"/>
              <w:left w:val="nil"/>
              <w:bottom w:val="single" w:sz="4" w:space="0" w:color="auto"/>
              <w:right w:val="single" w:sz="4" w:space="0" w:color="auto"/>
            </w:tcBorders>
            <w:noWrap/>
            <w:vAlign w:val="bottom"/>
          </w:tcPr>
          <w:p w14:paraId="58A01E35" w14:textId="2CF3E1F1"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w:t>
            </w:r>
            <w:r w:rsidR="00B75A1C">
              <w:rPr>
                <w:rFonts w:ascii="Arial" w:eastAsia="Times New Roman" w:hAnsi="Arial" w:cs="Arial"/>
                <w:color w:val="000000"/>
                <w:lang w:eastAsia="en-GB"/>
              </w:rPr>
              <w:t>24,257</w:t>
            </w:r>
            <w:r w:rsidRPr="00B57BEA">
              <w:rPr>
                <w:rFonts w:ascii="Arial" w:eastAsia="Times New Roman" w:hAnsi="Arial" w:cs="Arial"/>
                <w:color w:val="000000"/>
                <w:lang w:eastAsia="en-GB"/>
              </w:rPr>
              <w:t xml:space="preserve"> pa</w:t>
            </w:r>
            <w:r w:rsidR="00B75A1C">
              <w:rPr>
                <w:rFonts w:ascii="Arial" w:eastAsia="Times New Roman" w:hAnsi="Arial" w:cs="Arial"/>
                <w:color w:val="000000"/>
                <w:lang w:eastAsia="en-GB"/>
              </w:rPr>
              <w:t>***</w:t>
            </w:r>
          </w:p>
        </w:tc>
        <w:tc>
          <w:tcPr>
            <w:tcW w:w="1843" w:type="dxa"/>
            <w:tcBorders>
              <w:top w:val="nil"/>
              <w:left w:val="nil"/>
              <w:bottom w:val="single" w:sz="4" w:space="0" w:color="auto"/>
              <w:right w:val="single" w:sz="4" w:space="0" w:color="auto"/>
            </w:tcBorders>
          </w:tcPr>
          <w:p w14:paraId="11B3B9B6" w14:textId="77777777" w:rsidR="00A03696" w:rsidRPr="00B57BEA" w:rsidRDefault="00A03696" w:rsidP="00FC2076">
            <w:pPr>
              <w:spacing w:after="0" w:line="240" w:lineRule="auto"/>
              <w:jc w:val="center"/>
              <w:rPr>
                <w:rFonts w:ascii="Arial" w:eastAsia="Times New Roman" w:hAnsi="Arial" w:cs="Arial"/>
                <w:lang w:eastAsia="en-GB"/>
              </w:rPr>
            </w:pPr>
            <w:r w:rsidRPr="00B57BEA">
              <w:rPr>
                <w:rFonts w:ascii="Arial" w:eastAsia="Times New Roman" w:hAnsi="Arial" w:cs="Arial"/>
                <w:lang w:eastAsia="en-GB"/>
              </w:rPr>
              <w:t>90.4%</w:t>
            </w:r>
          </w:p>
        </w:tc>
      </w:tr>
      <w:tr w:rsidR="00A03696" w:rsidRPr="00B57BEA" w14:paraId="5D5ECA88" w14:textId="77777777" w:rsidTr="00FC2076">
        <w:trPr>
          <w:trHeight w:val="260"/>
          <w:jc w:val="center"/>
        </w:trPr>
        <w:tc>
          <w:tcPr>
            <w:tcW w:w="2815" w:type="dxa"/>
            <w:tcBorders>
              <w:top w:val="nil"/>
              <w:left w:val="single" w:sz="4" w:space="0" w:color="auto"/>
              <w:bottom w:val="nil"/>
              <w:right w:val="single" w:sz="4" w:space="0" w:color="auto"/>
            </w:tcBorders>
            <w:noWrap/>
            <w:vAlign w:val="bottom"/>
          </w:tcPr>
          <w:p w14:paraId="0832E226" w14:textId="77777777" w:rsidR="00A03696" w:rsidRPr="00B57BEA" w:rsidRDefault="00A03696"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Critical Illness</w:t>
            </w:r>
          </w:p>
        </w:tc>
        <w:tc>
          <w:tcPr>
            <w:tcW w:w="1512" w:type="dxa"/>
            <w:tcBorders>
              <w:top w:val="nil"/>
              <w:left w:val="nil"/>
              <w:bottom w:val="nil"/>
              <w:right w:val="single" w:sz="4" w:space="0" w:color="auto"/>
            </w:tcBorders>
            <w:noWrap/>
            <w:vAlign w:val="bottom"/>
          </w:tcPr>
          <w:p w14:paraId="231A7864" w14:textId="77777777" w:rsidR="00A03696" w:rsidRPr="00B57BEA" w:rsidRDefault="00A03696" w:rsidP="00FC2076">
            <w:pPr>
              <w:spacing w:after="0" w:line="240" w:lineRule="auto"/>
              <w:jc w:val="right"/>
              <w:rPr>
                <w:rFonts w:ascii="Arial" w:eastAsia="Times New Roman" w:hAnsi="Arial" w:cs="Arial"/>
                <w:color w:val="000000"/>
                <w:lang w:eastAsia="en-GB"/>
              </w:rPr>
            </w:pPr>
            <w:r w:rsidRPr="00B57BEA">
              <w:rPr>
                <w:rFonts w:ascii="Arial" w:eastAsia="Times New Roman" w:hAnsi="Arial" w:cs="Arial"/>
                <w:color w:val="000000"/>
                <w:lang w:eastAsia="en-GB"/>
              </w:rPr>
              <w:t>1,180</w:t>
            </w:r>
          </w:p>
        </w:tc>
        <w:tc>
          <w:tcPr>
            <w:tcW w:w="2291" w:type="dxa"/>
            <w:tcBorders>
              <w:top w:val="nil"/>
              <w:left w:val="nil"/>
              <w:bottom w:val="nil"/>
              <w:right w:val="single" w:sz="4" w:space="0" w:color="auto"/>
            </w:tcBorders>
            <w:noWrap/>
            <w:vAlign w:val="bottom"/>
          </w:tcPr>
          <w:p w14:paraId="49894ABA" w14:textId="77777777"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£84.3m</w:t>
            </w:r>
          </w:p>
        </w:tc>
        <w:tc>
          <w:tcPr>
            <w:tcW w:w="2410" w:type="dxa"/>
            <w:tcBorders>
              <w:top w:val="nil"/>
              <w:left w:val="nil"/>
              <w:bottom w:val="nil"/>
              <w:right w:val="single" w:sz="4" w:space="0" w:color="auto"/>
            </w:tcBorders>
            <w:noWrap/>
            <w:vAlign w:val="bottom"/>
          </w:tcPr>
          <w:p w14:paraId="33049677" w14:textId="77777777"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£71,463</w:t>
            </w:r>
          </w:p>
        </w:tc>
        <w:tc>
          <w:tcPr>
            <w:tcW w:w="1843" w:type="dxa"/>
            <w:tcBorders>
              <w:top w:val="nil"/>
              <w:left w:val="nil"/>
              <w:bottom w:val="nil"/>
              <w:right w:val="single" w:sz="4" w:space="0" w:color="auto"/>
            </w:tcBorders>
          </w:tcPr>
          <w:p w14:paraId="520D255A" w14:textId="77777777" w:rsidR="00A03696" w:rsidRPr="00B57BEA" w:rsidRDefault="00A03696" w:rsidP="00FC2076">
            <w:pPr>
              <w:spacing w:after="0" w:line="240" w:lineRule="auto"/>
              <w:jc w:val="center"/>
              <w:rPr>
                <w:rFonts w:ascii="Arial" w:eastAsia="Times New Roman" w:hAnsi="Arial" w:cs="Arial"/>
                <w:lang w:eastAsia="en-GB"/>
              </w:rPr>
            </w:pPr>
            <w:r w:rsidRPr="00B57BEA">
              <w:rPr>
                <w:rFonts w:ascii="Arial" w:eastAsia="Times New Roman" w:hAnsi="Arial" w:cs="Arial"/>
                <w:lang w:eastAsia="en-GB"/>
              </w:rPr>
              <w:t>84.4%</w:t>
            </w:r>
          </w:p>
        </w:tc>
      </w:tr>
      <w:tr w:rsidR="00A03696" w:rsidRPr="00B57BEA" w14:paraId="5D9EDACD"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188C9F45" w14:textId="77777777" w:rsidR="00A03696" w:rsidRPr="00B57BEA" w:rsidRDefault="00A03696" w:rsidP="00FC2076">
            <w:pPr>
              <w:spacing w:after="0" w:line="240" w:lineRule="auto"/>
              <w:jc w:val="both"/>
              <w:rPr>
                <w:rFonts w:ascii="Arial" w:eastAsia="Times New Roman" w:hAnsi="Arial" w:cs="Arial"/>
                <w:b/>
                <w:color w:val="FFFFFF"/>
                <w:lang w:eastAsia="en-GB"/>
              </w:rPr>
            </w:pPr>
            <w:r w:rsidRPr="00B57BEA">
              <w:rPr>
                <w:rFonts w:ascii="Arial" w:eastAsia="Times New Roman" w:hAnsi="Arial" w:cs="Arial"/>
                <w:b/>
                <w:color w:val="FFFFFF"/>
                <w:lang w:eastAsia="en-GB"/>
              </w:rPr>
              <w:t>Totals</w:t>
            </w:r>
          </w:p>
        </w:tc>
        <w:tc>
          <w:tcPr>
            <w:tcW w:w="1512" w:type="dxa"/>
            <w:tcBorders>
              <w:top w:val="single" w:sz="8" w:space="0" w:color="auto"/>
              <w:left w:val="nil"/>
              <w:bottom w:val="single" w:sz="8" w:space="0" w:color="auto"/>
              <w:right w:val="single" w:sz="8" w:space="0" w:color="auto"/>
            </w:tcBorders>
            <w:shd w:val="clear" w:color="auto" w:fill="7030A0"/>
            <w:noWrap/>
            <w:vAlign w:val="bottom"/>
          </w:tcPr>
          <w:p w14:paraId="65C6E811" w14:textId="77777777" w:rsidR="00A03696" w:rsidRPr="00B57BEA" w:rsidRDefault="00A03696" w:rsidP="00FC2076">
            <w:pPr>
              <w:spacing w:after="0" w:line="240" w:lineRule="auto"/>
              <w:jc w:val="right"/>
              <w:rPr>
                <w:rFonts w:ascii="Arial" w:eastAsia="Times New Roman" w:hAnsi="Arial" w:cs="Arial"/>
                <w:b/>
                <w:color w:val="FFFFFF"/>
                <w:lang w:eastAsia="en-GB"/>
              </w:rPr>
            </w:pPr>
            <w:r w:rsidRPr="00794088">
              <w:rPr>
                <w:rFonts w:ascii="Arial" w:eastAsia="Times New Roman" w:hAnsi="Arial" w:cs="Arial"/>
                <w:b/>
                <w:color w:val="FFFFFF"/>
                <w:lang w:eastAsia="en-GB"/>
              </w:rPr>
              <w:t>25,906</w:t>
            </w:r>
          </w:p>
        </w:tc>
        <w:tc>
          <w:tcPr>
            <w:tcW w:w="2291" w:type="dxa"/>
            <w:tcBorders>
              <w:top w:val="single" w:sz="8" w:space="0" w:color="auto"/>
              <w:left w:val="nil"/>
              <w:bottom w:val="single" w:sz="8" w:space="0" w:color="auto"/>
              <w:right w:val="single" w:sz="8" w:space="0" w:color="auto"/>
            </w:tcBorders>
            <w:shd w:val="clear" w:color="auto" w:fill="7030A0"/>
            <w:noWrap/>
            <w:vAlign w:val="bottom"/>
          </w:tcPr>
          <w:p w14:paraId="1AC1B164" w14:textId="6C0CAB8B" w:rsidR="00A03696" w:rsidRPr="00B57BEA" w:rsidRDefault="00A03696" w:rsidP="00FC2076">
            <w:pPr>
              <w:spacing w:after="0" w:line="240" w:lineRule="auto"/>
              <w:jc w:val="center"/>
              <w:rPr>
                <w:rFonts w:ascii="Arial" w:eastAsia="Times New Roman" w:hAnsi="Arial" w:cs="Arial"/>
                <w:b/>
                <w:color w:val="FFFFFF"/>
                <w:lang w:eastAsia="en-GB"/>
              </w:rPr>
            </w:pPr>
            <w:r w:rsidRPr="00794088">
              <w:rPr>
                <w:rFonts w:ascii="Arial" w:eastAsia="Times New Roman" w:hAnsi="Arial" w:cs="Arial"/>
                <w:b/>
                <w:color w:val="FFFFFF"/>
                <w:lang w:eastAsia="en-GB"/>
              </w:rPr>
              <w:t>1,</w:t>
            </w:r>
            <w:r w:rsidR="00AC460D">
              <w:rPr>
                <w:rFonts w:ascii="Arial" w:eastAsia="Times New Roman" w:hAnsi="Arial" w:cs="Arial"/>
                <w:b/>
                <w:color w:val="FFFFFF"/>
                <w:lang w:eastAsia="en-GB"/>
              </w:rPr>
              <w:t>617.8</w:t>
            </w:r>
            <w:r w:rsidRPr="00794088">
              <w:rPr>
                <w:rFonts w:ascii="Arial" w:eastAsia="Times New Roman" w:hAnsi="Arial" w:cs="Arial"/>
                <w:b/>
                <w:color w:val="FFFFFF"/>
                <w:lang w:eastAsia="en-GB"/>
              </w:rPr>
              <w:t>m**</w:t>
            </w:r>
          </w:p>
        </w:tc>
        <w:tc>
          <w:tcPr>
            <w:tcW w:w="2410" w:type="dxa"/>
            <w:tcBorders>
              <w:top w:val="single" w:sz="8" w:space="0" w:color="auto"/>
              <w:left w:val="nil"/>
              <w:bottom w:val="single" w:sz="8" w:space="0" w:color="auto"/>
              <w:right w:val="single" w:sz="8" w:space="0" w:color="auto"/>
            </w:tcBorders>
            <w:shd w:val="clear" w:color="auto" w:fill="7030A0"/>
            <w:noWrap/>
            <w:vAlign w:val="bottom"/>
          </w:tcPr>
          <w:p w14:paraId="13BEFB4F" w14:textId="77777777" w:rsidR="00A03696" w:rsidRPr="00B57BEA" w:rsidRDefault="00A03696" w:rsidP="00FC2076">
            <w:pPr>
              <w:spacing w:after="0" w:line="240" w:lineRule="auto"/>
              <w:jc w:val="both"/>
              <w:rPr>
                <w:rFonts w:ascii="Arial" w:eastAsia="Times New Roman" w:hAnsi="Arial" w:cs="Arial"/>
                <w:b/>
                <w:color w:val="FFFFFF"/>
                <w:lang w:eastAsia="en-GB"/>
              </w:rPr>
            </w:pPr>
          </w:p>
        </w:tc>
        <w:tc>
          <w:tcPr>
            <w:tcW w:w="1843" w:type="dxa"/>
            <w:tcBorders>
              <w:top w:val="single" w:sz="8" w:space="0" w:color="auto"/>
              <w:left w:val="nil"/>
              <w:bottom w:val="single" w:sz="8" w:space="0" w:color="auto"/>
              <w:right w:val="single" w:sz="8" w:space="0" w:color="auto"/>
            </w:tcBorders>
            <w:shd w:val="clear" w:color="auto" w:fill="7030A0"/>
          </w:tcPr>
          <w:p w14:paraId="20BBBF19" w14:textId="77777777" w:rsidR="00A03696" w:rsidRPr="00B57BEA" w:rsidRDefault="00A03696" w:rsidP="00FC2076">
            <w:pPr>
              <w:spacing w:after="0" w:line="240" w:lineRule="auto"/>
              <w:jc w:val="both"/>
              <w:rPr>
                <w:rFonts w:ascii="Arial" w:eastAsia="Times New Roman" w:hAnsi="Arial" w:cs="Arial"/>
                <w:color w:val="FFFFFF"/>
                <w:lang w:eastAsia="en-GB"/>
              </w:rPr>
            </w:pPr>
          </w:p>
        </w:tc>
      </w:tr>
    </w:tbl>
    <w:p w14:paraId="323CD792" w14:textId="77777777" w:rsidR="00A03696" w:rsidRPr="00B57BEA" w:rsidRDefault="00A03696" w:rsidP="00A03696">
      <w:pPr>
        <w:pStyle w:val="NoSpacing"/>
        <w:jc w:val="both"/>
        <w:rPr>
          <w:rFonts w:ascii="Arial" w:hAnsi="Arial" w:cs="Arial"/>
        </w:rPr>
      </w:pPr>
    </w:p>
    <w:p w14:paraId="6326C17F" w14:textId="77777777" w:rsidR="00A03696" w:rsidRPr="00BE09D0" w:rsidRDefault="00A03696" w:rsidP="00A03696">
      <w:pPr>
        <w:pStyle w:val="NoSpacing"/>
        <w:jc w:val="both"/>
        <w:rPr>
          <w:rFonts w:ascii="Arial" w:hAnsi="Arial" w:cs="Arial"/>
          <w:sz w:val="18"/>
          <w:szCs w:val="18"/>
        </w:rPr>
      </w:pPr>
      <w:r w:rsidRPr="00BE09D0">
        <w:rPr>
          <w:rFonts w:ascii="Arial" w:hAnsi="Arial" w:cs="Arial"/>
          <w:sz w:val="18"/>
          <w:szCs w:val="18"/>
        </w:rPr>
        <w:t>* All values are rounded</w:t>
      </w:r>
    </w:p>
    <w:p w14:paraId="6FFE0530" w14:textId="4619BA38" w:rsidR="00B75A1C" w:rsidRDefault="00A03696" w:rsidP="00A03696">
      <w:pPr>
        <w:spacing w:after="0" w:line="240" w:lineRule="auto"/>
        <w:rPr>
          <w:rFonts w:ascii="Arial" w:hAnsi="Arial" w:cs="Arial"/>
          <w:sz w:val="18"/>
          <w:szCs w:val="18"/>
        </w:rPr>
      </w:pPr>
      <w:r w:rsidRPr="00BE09D0">
        <w:rPr>
          <w:rFonts w:ascii="Arial" w:hAnsi="Arial" w:cs="Arial"/>
          <w:sz w:val="18"/>
          <w:szCs w:val="18"/>
        </w:rPr>
        <w:t xml:space="preserve">**Value of claims </w:t>
      </w:r>
      <w:r w:rsidR="00B75A1C">
        <w:rPr>
          <w:rFonts w:ascii="Arial" w:hAnsi="Arial" w:cs="Arial"/>
          <w:sz w:val="18"/>
          <w:szCs w:val="18"/>
        </w:rPr>
        <w:t xml:space="preserve">in payment </w:t>
      </w:r>
      <w:r w:rsidRPr="00BE09D0">
        <w:rPr>
          <w:rFonts w:ascii="Arial" w:hAnsi="Arial" w:cs="Arial"/>
          <w:sz w:val="18"/>
          <w:szCs w:val="18"/>
        </w:rPr>
        <w:t>as at 31 December 2017</w:t>
      </w:r>
      <w:r w:rsidR="00B75A1C">
        <w:rPr>
          <w:rFonts w:ascii="Arial" w:hAnsi="Arial" w:cs="Arial"/>
          <w:sz w:val="18"/>
          <w:szCs w:val="18"/>
        </w:rPr>
        <w:t xml:space="preserve"> and </w:t>
      </w:r>
      <w:r w:rsidR="004D2A37">
        <w:rPr>
          <w:rFonts w:ascii="Arial" w:hAnsi="Arial" w:cs="Arial"/>
          <w:sz w:val="18"/>
          <w:szCs w:val="18"/>
        </w:rPr>
        <w:t xml:space="preserve">any </w:t>
      </w:r>
      <w:r w:rsidR="00B75A1C">
        <w:rPr>
          <w:rFonts w:ascii="Arial" w:hAnsi="Arial" w:cs="Arial"/>
          <w:sz w:val="18"/>
          <w:szCs w:val="18"/>
        </w:rPr>
        <w:t>claims paid for part of 2017</w:t>
      </w:r>
      <w:r w:rsidRPr="00BE09D0">
        <w:rPr>
          <w:rFonts w:ascii="Arial" w:hAnsi="Arial" w:cs="Arial"/>
          <w:sz w:val="18"/>
          <w:szCs w:val="18"/>
        </w:rPr>
        <w:t xml:space="preserve">. The figures for group income protection represent one year's worth of benefit payment. Group income protection claims are often paid for several or many years so the ultimate value of these benefits will be much higher. </w:t>
      </w:r>
    </w:p>
    <w:p w14:paraId="28481546" w14:textId="45EAD41C" w:rsidR="00A03696" w:rsidRPr="00B57BEA" w:rsidRDefault="00B75A1C" w:rsidP="00A03696">
      <w:pPr>
        <w:spacing w:after="0" w:line="240" w:lineRule="auto"/>
        <w:rPr>
          <w:rFonts w:ascii="Arial" w:hAnsi="Arial" w:cs="Arial"/>
        </w:rPr>
      </w:pPr>
      <w:r>
        <w:rPr>
          <w:rFonts w:ascii="Arial" w:hAnsi="Arial" w:cs="Arial"/>
          <w:sz w:val="18"/>
          <w:szCs w:val="18"/>
        </w:rPr>
        <w:t>***</w:t>
      </w:r>
      <w:r w:rsidR="00A03696" w:rsidRPr="00BE09D0">
        <w:rPr>
          <w:rFonts w:ascii="Arial" w:hAnsi="Arial" w:cs="Arial"/>
          <w:sz w:val="18"/>
          <w:szCs w:val="18"/>
        </w:rPr>
        <w:t>During 2017 there were 5,454 new group income protection claims, totalling £132.3m pa</w:t>
      </w:r>
      <w:r>
        <w:rPr>
          <w:rFonts w:ascii="Arial" w:hAnsi="Arial" w:cs="Arial"/>
          <w:sz w:val="18"/>
          <w:szCs w:val="18"/>
        </w:rPr>
        <w:t xml:space="preserve"> and averaging £24,257</w:t>
      </w:r>
      <w:r w:rsidR="00F97090">
        <w:rPr>
          <w:rFonts w:ascii="Arial" w:hAnsi="Arial" w:cs="Arial"/>
          <w:sz w:val="18"/>
          <w:szCs w:val="18"/>
        </w:rPr>
        <w:t xml:space="preserve"> pa</w:t>
      </w:r>
      <w:r w:rsidR="00A03696" w:rsidRPr="00BE09D0">
        <w:rPr>
          <w:rFonts w:ascii="Arial" w:hAnsi="Arial" w:cs="Arial"/>
          <w:sz w:val="18"/>
          <w:szCs w:val="18"/>
        </w:rPr>
        <w:t>.</w:t>
      </w:r>
    </w:p>
    <w:p w14:paraId="281A3A59" w14:textId="77777777" w:rsidR="00F13316" w:rsidRDefault="00F13316" w:rsidP="00D1117B">
      <w:pPr>
        <w:pStyle w:val="NoSpacing"/>
        <w:rPr>
          <w:rFonts w:ascii="Arial" w:hAnsi="Arial" w:cs="Arial"/>
          <w:b/>
        </w:rPr>
      </w:pPr>
    </w:p>
    <w:p w14:paraId="2DB0F481" w14:textId="03E94C21" w:rsidR="005E6FBC" w:rsidRPr="00B57BEA" w:rsidRDefault="001E3A64" w:rsidP="00D1117B">
      <w:pPr>
        <w:pStyle w:val="NoSpacing"/>
        <w:rPr>
          <w:rFonts w:ascii="Arial" w:hAnsi="Arial" w:cs="Arial"/>
          <w:b/>
        </w:rPr>
      </w:pPr>
      <w:r w:rsidRPr="00B57BEA">
        <w:rPr>
          <w:rFonts w:ascii="Arial" w:hAnsi="Arial" w:cs="Arial"/>
          <w:b/>
        </w:rPr>
        <w:t>Facilitating return</w:t>
      </w:r>
      <w:r w:rsidR="002F16FA" w:rsidRPr="00B57BEA">
        <w:rPr>
          <w:rFonts w:ascii="Arial" w:hAnsi="Arial" w:cs="Arial"/>
          <w:b/>
        </w:rPr>
        <w:t xml:space="preserve"> to work</w:t>
      </w:r>
      <w:r w:rsidR="00307F54" w:rsidRPr="00B57BEA">
        <w:rPr>
          <w:rFonts w:ascii="Arial" w:hAnsi="Arial" w:cs="Arial"/>
          <w:b/>
        </w:rPr>
        <w:t xml:space="preserve"> </w:t>
      </w:r>
    </w:p>
    <w:p w14:paraId="50889E24" w14:textId="77777777" w:rsidR="00482705" w:rsidRPr="00B57BEA" w:rsidRDefault="003E14D0" w:rsidP="00D1117B">
      <w:pPr>
        <w:pStyle w:val="NoSpacing"/>
        <w:rPr>
          <w:rFonts w:ascii="Arial" w:hAnsi="Arial" w:cs="Arial"/>
        </w:rPr>
      </w:pPr>
      <w:r w:rsidRPr="00B57BEA">
        <w:rPr>
          <w:rFonts w:ascii="Arial" w:hAnsi="Arial" w:cs="Arial"/>
        </w:rPr>
        <w:t xml:space="preserve">For </w:t>
      </w:r>
      <w:r w:rsidR="00482705" w:rsidRPr="00B57BEA">
        <w:rPr>
          <w:rFonts w:ascii="Arial" w:hAnsi="Arial" w:cs="Arial"/>
        </w:rPr>
        <w:t>g</w:t>
      </w:r>
      <w:r w:rsidRPr="00B57BEA">
        <w:rPr>
          <w:rFonts w:ascii="Arial" w:hAnsi="Arial" w:cs="Arial"/>
        </w:rPr>
        <w:t xml:space="preserve">roup </w:t>
      </w:r>
      <w:r w:rsidR="00482705" w:rsidRPr="00B57BEA">
        <w:rPr>
          <w:rFonts w:ascii="Arial" w:hAnsi="Arial" w:cs="Arial"/>
        </w:rPr>
        <w:t>i</w:t>
      </w:r>
      <w:r w:rsidRPr="00B57BEA">
        <w:rPr>
          <w:rFonts w:ascii="Arial" w:hAnsi="Arial" w:cs="Arial"/>
        </w:rPr>
        <w:t xml:space="preserve">ncome </w:t>
      </w:r>
      <w:r w:rsidR="00482705" w:rsidRPr="00B57BEA">
        <w:rPr>
          <w:rFonts w:ascii="Arial" w:hAnsi="Arial" w:cs="Arial"/>
        </w:rPr>
        <w:t>p</w:t>
      </w:r>
      <w:r w:rsidRPr="00B57BEA">
        <w:rPr>
          <w:rFonts w:ascii="Arial" w:hAnsi="Arial" w:cs="Arial"/>
        </w:rPr>
        <w:t xml:space="preserve">rotection, as well as the claims paid, there are a material number of cases each year where people are helped back to work </w:t>
      </w:r>
      <w:r w:rsidR="00482705" w:rsidRPr="00B57BEA">
        <w:rPr>
          <w:rFonts w:ascii="Arial" w:hAnsi="Arial" w:cs="Arial"/>
        </w:rPr>
        <w:t xml:space="preserve">both </w:t>
      </w:r>
      <w:r w:rsidRPr="00B57BEA">
        <w:rPr>
          <w:rFonts w:ascii="Arial" w:hAnsi="Arial" w:cs="Arial"/>
        </w:rPr>
        <w:t xml:space="preserve">before </w:t>
      </w:r>
      <w:r w:rsidR="00482705" w:rsidRPr="00B57BEA">
        <w:rPr>
          <w:rFonts w:ascii="Arial" w:hAnsi="Arial" w:cs="Arial"/>
        </w:rPr>
        <w:t xml:space="preserve">and after </w:t>
      </w:r>
      <w:r w:rsidRPr="00B57BEA">
        <w:rPr>
          <w:rFonts w:ascii="Arial" w:hAnsi="Arial" w:cs="Arial"/>
        </w:rPr>
        <w:t xml:space="preserve">a claim becomes payable, often with the support of the insurer, the employer or both. </w:t>
      </w:r>
    </w:p>
    <w:p w14:paraId="216FCBB7" w14:textId="77777777" w:rsidR="00482705" w:rsidRPr="00B57BEA" w:rsidRDefault="00482705" w:rsidP="00D1117B">
      <w:pPr>
        <w:pStyle w:val="NoSpacing"/>
        <w:rPr>
          <w:rFonts w:ascii="Arial" w:hAnsi="Arial" w:cs="Arial"/>
        </w:rPr>
      </w:pPr>
    </w:p>
    <w:p w14:paraId="5857BFC5" w14:textId="25A7FD73" w:rsidR="00A333D4" w:rsidRPr="00B57BEA" w:rsidRDefault="003E14D0" w:rsidP="00D1117B">
      <w:pPr>
        <w:pStyle w:val="NoSpacing"/>
        <w:rPr>
          <w:rFonts w:ascii="Arial" w:hAnsi="Arial" w:cs="Arial"/>
        </w:rPr>
      </w:pPr>
      <w:r w:rsidRPr="00B57BEA">
        <w:rPr>
          <w:rFonts w:ascii="Arial" w:hAnsi="Arial" w:cs="Arial"/>
        </w:rPr>
        <w:t xml:space="preserve">GRiD has </w:t>
      </w:r>
      <w:r w:rsidR="00482705" w:rsidRPr="00B57BEA">
        <w:rPr>
          <w:rFonts w:ascii="Arial" w:hAnsi="Arial" w:cs="Arial"/>
        </w:rPr>
        <w:t xml:space="preserve">again </w:t>
      </w:r>
      <w:r w:rsidRPr="00B57BEA">
        <w:rPr>
          <w:rFonts w:ascii="Arial" w:hAnsi="Arial" w:cs="Arial"/>
        </w:rPr>
        <w:t xml:space="preserve">captured details of the cases where the insurer supported a return to work with active </w:t>
      </w:r>
      <w:r w:rsidR="001A5D1C" w:rsidRPr="00B57BEA">
        <w:rPr>
          <w:rFonts w:ascii="Arial" w:hAnsi="Arial" w:cs="Arial"/>
        </w:rPr>
        <w:t xml:space="preserve">early </w:t>
      </w:r>
      <w:r w:rsidRPr="00B57BEA">
        <w:rPr>
          <w:rFonts w:ascii="Arial" w:hAnsi="Arial" w:cs="Arial"/>
        </w:rPr>
        <w:t>intervention (such as fast</w:t>
      </w:r>
      <w:r w:rsidR="00A60915" w:rsidRPr="00B57BEA">
        <w:rPr>
          <w:rFonts w:ascii="Arial" w:hAnsi="Arial" w:cs="Arial"/>
        </w:rPr>
        <w:t>-</w:t>
      </w:r>
      <w:r w:rsidRPr="00B57BEA">
        <w:rPr>
          <w:rFonts w:ascii="Arial" w:hAnsi="Arial" w:cs="Arial"/>
        </w:rPr>
        <w:t>track access to counselling or physiotherapy</w:t>
      </w:r>
      <w:r w:rsidR="00DA5200">
        <w:rPr>
          <w:rFonts w:ascii="Arial" w:hAnsi="Arial" w:cs="Arial"/>
        </w:rPr>
        <w:t>, funded by the insurer</w:t>
      </w:r>
      <w:r w:rsidRPr="00B57BEA">
        <w:rPr>
          <w:rFonts w:ascii="Arial" w:hAnsi="Arial" w:cs="Arial"/>
        </w:rPr>
        <w:t xml:space="preserve">) </w:t>
      </w:r>
      <w:r w:rsidR="00152E84" w:rsidRPr="00B57BEA">
        <w:rPr>
          <w:rFonts w:ascii="Arial" w:hAnsi="Arial" w:cs="Arial"/>
        </w:rPr>
        <w:t>before that person was eligible for a monetary payment</w:t>
      </w:r>
      <w:r w:rsidR="00F6374A" w:rsidRPr="00B57BEA">
        <w:rPr>
          <w:rFonts w:ascii="Arial" w:hAnsi="Arial" w:cs="Arial"/>
        </w:rPr>
        <w:t>.</w:t>
      </w:r>
      <w:r w:rsidR="00152E84" w:rsidRPr="00B57BEA">
        <w:rPr>
          <w:rFonts w:ascii="Arial" w:hAnsi="Arial" w:cs="Arial"/>
        </w:rPr>
        <w:t xml:space="preserve"> </w:t>
      </w:r>
      <w:r w:rsidR="006318FD" w:rsidRPr="00B57BEA">
        <w:rPr>
          <w:rFonts w:ascii="Arial" w:hAnsi="Arial" w:cs="Arial"/>
        </w:rPr>
        <w:t xml:space="preserve">2,989 </w:t>
      </w:r>
      <w:r w:rsidRPr="00B57BEA">
        <w:rPr>
          <w:rFonts w:ascii="Arial" w:hAnsi="Arial" w:cs="Arial"/>
        </w:rPr>
        <w:t xml:space="preserve">people </w:t>
      </w:r>
      <w:r w:rsidR="006318FD" w:rsidRPr="00B57BEA">
        <w:rPr>
          <w:rFonts w:ascii="Arial" w:hAnsi="Arial" w:cs="Arial"/>
        </w:rPr>
        <w:t xml:space="preserve">(33.1% of all claims submitted, up </w:t>
      </w:r>
      <w:r w:rsidR="00536FCD">
        <w:rPr>
          <w:rFonts w:ascii="Arial" w:hAnsi="Arial" w:cs="Arial"/>
        </w:rPr>
        <w:t>six</w:t>
      </w:r>
      <w:r w:rsidR="006318FD" w:rsidRPr="00B57BEA">
        <w:rPr>
          <w:rFonts w:ascii="Arial" w:hAnsi="Arial" w:cs="Arial"/>
        </w:rPr>
        <w:t xml:space="preserve"> percentage points on 2016) </w:t>
      </w:r>
      <w:r w:rsidRPr="00B57BEA">
        <w:rPr>
          <w:rFonts w:ascii="Arial" w:hAnsi="Arial" w:cs="Arial"/>
        </w:rPr>
        <w:t xml:space="preserve">were able to go back to work during </w:t>
      </w:r>
      <w:r w:rsidR="00A60915" w:rsidRPr="00B57BEA">
        <w:rPr>
          <w:rFonts w:ascii="Arial" w:hAnsi="Arial" w:cs="Arial"/>
        </w:rPr>
        <w:t>201</w:t>
      </w:r>
      <w:r w:rsidR="006318FD" w:rsidRPr="00B57BEA">
        <w:rPr>
          <w:rFonts w:ascii="Arial" w:hAnsi="Arial" w:cs="Arial"/>
        </w:rPr>
        <w:t>7</w:t>
      </w:r>
      <w:r w:rsidR="00A60915" w:rsidRPr="00B57BEA">
        <w:rPr>
          <w:rFonts w:ascii="Arial" w:hAnsi="Arial" w:cs="Arial"/>
        </w:rPr>
        <w:t xml:space="preserve"> </w:t>
      </w:r>
      <w:r w:rsidR="00152E84" w:rsidRPr="00B57BEA">
        <w:rPr>
          <w:rFonts w:ascii="Arial" w:hAnsi="Arial" w:cs="Arial"/>
        </w:rPr>
        <w:t xml:space="preserve">because of </w:t>
      </w:r>
      <w:r w:rsidR="002F16FA" w:rsidRPr="00B57BEA">
        <w:rPr>
          <w:rFonts w:ascii="Arial" w:hAnsi="Arial" w:cs="Arial"/>
        </w:rPr>
        <w:t>such</w:t>
      </w:r>
      <w:r w:rsidR="00482705" w:rsidRPr="00B57BEA">
        <w:rPr>
          <w:rFonts w:ascii="Arial" w:hAnsi="Arial" w:cs="Arial"/>
        </w:rPr>
        <w:t xml:space="preserve"> early</w:t>
      </w:r>
      <w:r w:rsidR="002F16FA" w:rsidRPr="00B57BEA">
        <w:rPr>
          <w:rFonts w:ascii="Arial" w:hAnsi="Arial" w:cs="Arial"/>
        </w:rPr>
        <w:t xml:space="preserve"> </w:t>
      </w:r>
      <w:r w:rsidR="00152E84" w:rsidRPr="00B57BEA">
        <w:rPr>
          <w:rFonts w:ascii="Arial" w:hAnsi="Arial" w:cs="Arial"/>
        </w:rPr>
        <w:t>intervention</w:t>
      </w:r>
      <w:r w:rsidR="006318FD" w:rsidRPr="00B57BEA">
        <w:rPr>
          <w:rFonts w:ascii="Arial" w:hAnsi="Arial" w:cs="Arial"/>
        </w:rPr>
        <w:t xml:space="preserve"> (of which, 52% </w:t>
      </w:r>
      <w:r w:rsidR="006318FD" w:rsidRPr="00B57BEA">
        <w:rPr>
          <w:rFonts w:ascii="Arial" w:hAnsi="Arial" w:cs="Arial"/>
          <w:bCs/>
          <w:color w:val="000000"/>
        </w:rPr>
        <w:t>had help to overcome mental illness and 17% had support overcoming</w:t>
      </w:r>
      <w:r w:rsidR="00316200">
        <w:rPr>
          <w:rFonts w:ascii="Arial" w:hAnsi="Arial" w:cs="Arial"/>
          <w:bCs/>
          <w:color w:val="000000"/>
        </w:rPr>
        <w:t xml:space="preserve"> a</w:t>
      </w:r>
      <w:r w:rsidR="006318FD" w:rsidRPr="00B57BEA">
        <w:rPr>
          <w:rFonts w:ascii="Arial" w:hAnsi="Arial" w:cs="Arial"/>
          <w:bCs/>
          <w:color w:val="000000"/>
        </w:rPr>
        <w:t xml:space="preserve"> musculoskeletal </w:t>
      </w:r>
      <w:r w:rsidR="00316200">
        <w:rPr>
          <w:rFonts w:ascii="Arial" w:hAnsi="Arial" w:cs="Arial"/>
          <w:bCs/>
          <w:color w:val="000000"/>
        </w:rPr>
        <w:t>condition</w:t>
      </w:r>
      <w:r w:rsidR="006318FD" w:rsidRPr="00B57BEA">
        <w:rPr>
          <w:rFonts w:ascii="Arial" w:hAnsi="Arial" w:cs="Arial"/>
          <w:bCs/>
          <w:color w:val="000000"/>
        </w:rPr>
        <w:t>).</w:t>
      </w:r>
    </w:p>
    <w:p w14:paraId="7F8D5393" w14:textId="6BCC3B44" w:rsidR="00482705" w:rsidRPr="00B57BEA" w:rsidRDefault="00482705" w:rsidP="00D1117B">
      <w:pPr>
        <w:pStyle w:val="NoSpacing"/>
        <w:rPr>
          <w:rFonts w:ascii="Arial" w:hAnsi="Arial" w:cs="Arial"/>
        </w:rPr>
      </w:pPr>
    </w:p>
    <w:p w14:paraId="72C569E4" w14:textId="633AF970" w:rsidR="00482705" w:rsidRPr="00B57BEA" w:rsidRDefault="00482705" w:rsidP="00D1117B">
      <w:pPr>
        <w:pStyle w:val="NoSpacing"/>
        <w:rPr>
          <w:rFonts w:ascii="Arial" w:hAnsi="Arial" w:cs="Arial"/>
        </w:rPr>
      </w:pPr>
      <w:r w:rsidRPr="00B57BEA">
        <w:rPr>
          <w:rFonts w:ascii="Arial" w:hAnsi="Arial" w:cs="Arial"/>
        </w:rPr>
        <w:t>On top of this, for the first time, GRiD has also capture</w:t>
      </w:r>
      <w:r w:rsidR="00DF6657" w:rsidRPr="00B57BEA">
        <w:rPr>
          <w:rFonts w:ascii="Arial" w:hAnsi="Arial" w:cs="Arial"/>
        </w:rPr>
        <w:t xml:space="preserve">d </w:t>
      </w:r>
      <w:r w:rsidR="008A6B4F" w:rsidRPr="00B57BEA">
        <w:rPr>
          <w:rFonts w:ascii="Arial" w:hAnsi="Arial" w:cs="Arial"/>
        </w:rPr>
        <w:t>details of cases to demonst</w:t>
      </w:r>
      <w:r w:rsidR="005457A0" w:rsidRPr="00B57BEA">
        <w:rPr>
          <w:rFonts w:ascii="Arial" w:hAnsi="Arial" w:cs="Arial"/>
        </w:rPr>
        <w:t>r</w:t>
      </w:r>
      <w:r w:rsidR="008A6B4F" w:rsidRPr="00B57BEA">
        <w:rPr>
          <w:rFonts w:ascii="Arial" w:hAnsi="Arial" w:cs="Arial"/>
        </w:rPr>
        <w:t>ate that on</w:t>
      </w:r>
      <w:r w:rsidR="005457A0" w:rsidRPr="00B57BEA">
        <w:rPr>
          <w:rFonts w:ascii="Arial" w:hAnsi="Arial" w:cs="Arial"/>
        </w:rPr>
        <w:t>ce a claim is in payment, help and support back to work is still given and people are not forgotten</w:t>
      </w:r>
      <w:r w:rsidR="009538D7" w:rsidRPr="00B57BEA">
        <w:rPr>
          <w:rFonts w:ascii="Arial" w:hAnsi="Arial" w:cs="Arial"/>
        </w:rPr>
        <w:t>. Of the 5,255</w:t>
      </w:r>
      <w:r w:rsidR="00A03696" w:rsidRPr="00B57BEA">
        <w:rPr>
          <w:rFonts w:ascii="Arial" w:hAnsi="Arial" w:cs="Arial"/>
        </w:rPr>
        <w:t xml:space="preserve"> </w:t>
      </w:r>
      <w:r w:rsidR="009538D7" w:rsidRPr="00B57BEA">
        <w:rPr>
          <w:rFonts w:ascii="Arial" w:hAnsi="Arial" w:cs="Arial"/>
        </w:rPr>
        <w:t>group income protection claims that went into payment during 2016, 1,955 people were helped by the insurer to make a full return to work during that year or during 2017.</w:t>
      </w:r>
      <w:r w:rsidR="005457A0" w:rsidRPr="00B57BEA">
        <w:rPr>
          <w:rFonts w:ascii="Arial" w:hAnsi="Arial" w:cs="Arial"/>
        </w:rPr>
        <w:t xml:space="preserve"> </w:t>
      </w:r>
    </w:p>
    <w:p w14:paraId="52043BE0" w14:textId="0779D007" w:rsidR="00853D40" w:rsidRPr="00B57BEA" w:rsidRDefault="00853D40" w:rsidP="00D1117B">
      <w:pPr>
        <w:pStyle w:val="NoSpacing"/>
        <w:rPr>
          <w:rFonts w:ascii="Arial" w:hAnsi="Arial" w:cs="Arial"/>
        </w:rPr>
      </w:pPr>
    </w:p>
    <w:p w14:paraId="06C4808E" w14:textId="77777777" w:rsidR="002011F1" w:rsidRDefault="00853D40" w:rsidP="004836ED">
      <w:pPr>
        <w:pStyle w:val="NoSpacing"/>
        <w:rPr>
          <w:rFonts w:ascii="Arial" w:hAnsi="Arial" w:cs="Arial"/>
          <w:b/>
        </w:rPr>
      </w:pPr>
      <w:r w:rsidRPr="00B57BEA">
        <w:rPr>
          <w:rFonts w:ascii="Arial" w:hAnsi="Arial" w:cs="Arial"/>
          <w:b/>
        </w:rPr>
        <w:t xml:space="preserve">Help </w:t>
      </w:r>
      <w:r w:rsidR="005B521C" w:rsidRPr="00B57BEA">
        <w:rPr>
          <w:rFonts w:ascii="Arial" w:hAnsi="Arial" w:cs="Arial"/>
          <w:b/>
        </w:rPr>
        <w:t>and support</w:t>
      </w:r>
    </w:p>
    <w:p w14:paraId="170CBA74" w14:textId="1BC1DF00" w:rsidR="00316200" w:rsidRDefault="00992357" w:rsidP="004836ED">
      <w:pPr>
        <w:pStyle w:val="NoSpacing"/>
        <w:rPr>
          <w:rFonts w:ascii="Arial" w:hAnsi="Arial" w:cs="Arial"/>
        </w:rPr>
      </w:pPr>
      <w:r w:rsidRPr="004836ED">
        <w:rPr>
          <w:rFonts w:ascii="Arial" w:hAnsi="Arial" w:cs="Arial"/>
        </w:rPr>
        <w:t>As well as paying claims and helping people back to wor</w:t>
      </w:r>
      <w:r w:rsidR="00E83AAD">
        <w:rPr>
          <w:rFonts w:ascii="Arial" w:hAnsi="Arial" w:cs="Arial"/>
        </w:rPr>
        <w:t>k</w:t>
      </w:r>
      <w:r w:rsidRPr="004836ED">
        <w:rPr>
          <w:rFonts w:ascii="Arial" w:hAnsi="Arial" w:cs="Arial"/>
        </w:rPr>
        <w:t xml:space="preserve">, group risk insurers give access to everyday services that can be used to help </w:t>
      </w:r>
      <w:r w:rsidR="00685D65" w:rsidRPr="004836ED">
        <w:rPr>
          <w:rFonts w:ascii="Arial" w:hAnsi="Arial" w:cs="Arial"/>
        </w:rPr>
        <w:t>and support people</w:t>
      </w:r>
      <w:r w:rsidR="00814AD9">
        <w:rPr>
          <w:rFonts w:ascii="Arial" w:hAnsi="Arial" w:cs="Arial"/>
        </w:rPr>
        <w:t xml:space="preserve"> on a day-to-day basis</w:t>
      </w:r>
      <w:r w:rsidR="004836ED" w:rsidRPr="004836ED">
        <w:rPr>
          <w:rFonts w:ascii="Arial" w:hAnsi="Arial" w:cs="Arial"/>
        </w:rPr>
        <w:t xml:space="preserve">. This </w:t>
      </w:r>
      <w:r w:rsidR="00536FCD">
        <w:rPr>
          <w:rFonts w:ascii="Arial" w:hAnsi="Arial" w:cs="Arial"/>
        </w:rPr>
        <w:t>is</w:t>
      </w:r>
      <w:r w:rsidR="00316200">
        <w:rPr>
          <w:rFonts w:ascii="Arial" w:hAnsi="Arial" w:cs="Arial"/>
        </w:rPr>
        <w:t xml:space="preserve"> via a number of ways, including:</w:t>
      </w:r>
    </w:p>
    <w:p w14:paraId="62523AA5" w14:textId="13680592" w:rsidR="00316200" w:rsidRDefault="00316200" w:rsidP="00316200">
      <w:pPr>
        <w:pStyle w:val="NoSpacing"/>
        <w:numPr>
          <w:ilvl w:val="0"/>
          <w:numId w:val="7"/>
        </w:numPr>
        <w:rPr>
          <w:rFonts w:ascii="Arial" w:hAnsi="Arial" w:cs="Arial"/>
        </w:rPr>
      </w:pPr>
      <w:r>
        <w:rPr>
          <w:rFonts w:ascii="Arial" w:hAnsi="Arial" w:cs="Arial"/>
        </w:rPr>
        <w:t>An</w:t>
      </w:r>
      <w:r w:rsidR="004836ED" w:rsidRPr="004836ED">
        <w:rPr>
          <w:rFonts w:ascii="Arial" w:hAnsi="Arial" w:cs="Arial"/>
        </w:rPr>
        <w:t xml:space="preserve"> </w:t>
      </w:r>
      <w:r w:rsidR="008243CA">
        <w:rPr>
          <w:rFonts w:ascii="Arial" w:hAnsi="Arial" w:cs="Arial"/>
        </w:rPr>
        <w:t xml:space="preserve">associated </w:t>
      </w:r>
      <w:r w:rsidR="004836ED" w:rsidRPr="004836ED">
        <w:rPr>
          <w:rFonts w:ascii="Arial" w:hAnsi="Arial" w:cs="Arial"/>
        </w:rPr>
        <w:t>Employee Assistance Programme</w:t>
      </w:r>
      <w:r w:rsidR="004836ED">
        <w:rPr>
          <w:rFonts w:ascii="Arial" w:hAnsi="Arial" w:cs="Arial"/>
        </w:rPr>
        <w:t xml:space="preserve">. </w:t>
      </w:r>
    </w:p>
    <w:p w14:paraId="3914C547" w14:textId="5D371982" w:rsidR="00316200" w:rsidRDefault="00316200" w:rsidP="00316200">
      <w:pPr>
        <w:pStyle w:val="NoSpacing"/>
        <w:numPr>
          <w:ilvl w:val="0"/>
          <w:numId w:val="7"/>
        </w:numPr>
        <w:rPr>
          <w:rFonts w:ascii="Arial" w:hAnsi="Arial" w:cs="Arial"/>
        </w:rPr>
      </w:pPr>
      <w:r>
        <w:rPr>
          <w:rFonts w:ascii="Arial" w:hAnsi="Arial" w:cs="Arial"/>
        </w:rPr>
        <w:t>F</w:t>
      </w:r>
      <w:r w:rsidR="004836ED" w:rsidRPr="004836ED">
        <w:rPr>
          <w:rFonts w:ascii="Arial" w:hAnsi="Arial" w:cs="Arial"/>
        </w:rPr>
        <w:t>acilitating a second medical opinion</w:t>
      </w:r>
      <w:r w:rsidR="004836ED">
        <w:rPr>
          <w:rFonts w:ascii="Arial" w:hAnsi="Arial" w:cs="Arial"/>
        </w:rPr>
        <w:t xml:space="preserve"> </w:t>
      </w:r>
    </w:p>
    <w:p w14:paraId="54CD39AE" w14:textId="17F95F1B" w:rsidR="00316200" w:rsidRDefault="00316200" w:rsidP="00316200">
      <w:pPr>
        <w:pStyle w:val="NoSpacing"/>
        <w:numPr>
          <w:ilvl w:val="0"/>
          <w:numId w:val="7"/>
        </w:numPr>
        <w:rPr>
          <w:rFonts w:ascii="Arial" w:hAnsi="Arial" w:cs="Arial"/>
        </w:rPr>
      </w:pPr>
      <w:r>
        <w:rPr>
          <w:rFonts w:ascii="Arial" w:hAnsi="Arial" w:cs="Arial"/>
        </w:rPr>
        <w:t>F</w:t>
      </w:r>
      <w:r w:rsidR="004836ED" w:rsidRPr="004836ED">
        <w:rPr>
          <w:rFonts w:ascii="Arial" w:hAnsi="Arial" w:cs="Arial"/>
        </w:rPr>
        <w:t>ast-track access to counselling, physiotherapy or treatment</w:t>
      </w:r>
    </w:p>
    <w:p w14:paraId="67C5B24A" w14:textId="77777777" w:rsidR="00504F9D" w:rsidRDefault="00316200" w:rsidP="00316200">
      <w:pPr>
        <w:pStyle w:val="NoSpacing"/>
        <w:numPr>
          <w:ilvl w:val="0"/>
          <w:numId w:val="7"/>
        </w:numPr>
        <w:rPr>
          <w:rFonts w:ascii="Arial" w:hAnsi="Arial" w:cs="Arial"/>
        </w:rPr>
      </w:pPr>
      <w:r>
        <w:rPr>
          <w:rFonts w:ascii="Arial" w:hAnsi="Arial" w:cs="Arial"/>
        </w:rPr>
        <w:t>H</w:t>
      </w:r>
      <w:r w:rsidR="00AC2430">
        <w:rPr>
          <w:rFonts w:ascii="Arial" w:hAnsi="Arial" w:cs="Arial"/>
        </w:rPr>
        <w:t>elping people make changes towards better health behaviours</w:t>
      </w:r>
    </w:p>
    <w:p w14:paraId="374ABB18" w14:textId="1D7C3C34" w:rsidR="004836ED" w:rsidRDefault="00316200" w:rsidP="00316200">
      <w:pPr>
        <w:pStyle w:val="NoSpacing"/>
        <w:numPr>
          <w:ilvl w:val="0"/>
          <w:numId w:val="7"/>
        </w:numPr>
        <w:rPr>
          <w:rFonts w:ascii="Arial" w:hAnsi="Arial" w:cs="Arial"/>
        </w:rPr>
      </w:pPr>
      <w:r>
        <w:rPr>
          <w:rFonts w:ascii="Arial" w:hAnsi="Arial" w:cs="Arial"/>
        </w:rPr>
        <w:t>L</w:t>
      </w:r>
      <w:r w:rsidR="004836ED" w:rsidRPr="004836ED">
        <w:rPr>
          <w:rFonts w:ascii="Arial" w:hAnsi="Arial" w:cs="Arial"/>
        </w:rPr>
        <w:t>iaison and mediation</w:t>
      </w:r>
    </w:p>
    <w:p w14:paraId="6E7AA219" w14:textId="77777777" w:rsidR="00917AE9" w:rsidRDefault="00917AE9" w:rsidP="00917AE9">
      <w:pPr>
        <w:pStyle w:val="NoSpacing"/>
        <w:numPr>
          <w:ilvl w:val="0"/>
          <w:numId w:val="7"/>
        </w:numPr>
        <w:rPr>
          <w:rFonts w:ascii="Arial" w:hAnsi="Arial" w:cs="Arial"/>
        </w:rPr>
      </w:pPr>
      <w:r>
        <w:rPr>
          <w:rFonts w:ascii="Arial" w:hAnsi="Arial" w:cs="Arial"/>
        </w:rPr>
        <w:t>B</w:t>
      </w:r>
      <w:r w:rsidRPr="004836ED">
        <w:rPr>
          <w:rFonts w:ascii="Arial" w:hAnsi="Arial" w:cs="Arial"/>
        </w:rPr>
        <w:t>ereavement support and help with probate</w:t>
      </w:r>
    </w:p>
    <w:p w14:paraId="2BBC3644" w14:textId="77777777" w:rsidR="00917AE9" w:rsidRPr="004836ED" w:rsidRDefault="00917AE9" w:rsidP="00B244DB">
      <w:pPr>
        <w:pStyle w:val="NoSpacing"/>
        <w:ind w:left="720"/>
        <w:rPr>
          <w:rFonts w:ascii="Arial" w:hAnsi="Arial" w:cs="Arial"/>
        </w:rPr>
      </w:pPr>
    </w:p>
    <w:p w14:paraId="5C0AB292" w14:textId="2F1562F0" w:rsidR="0026085C" w:rsidRPr="00B57BEA" w:rsidRDefault="00992357" w:rsidP="00D1117B">
      <w:pPr>
        <w:pStyle w:val="NoSpacing"/>
        <w:rPr>
          <w:rFonts w:ascii="Arial" w:hAnsi="Arial" w:cs="Arial"/>
        </w:rPr>
      </w:pPr>
      <w:r w:rsidRPr="00B57BEA">
        <w:rPr>
          <w:rFonts w:ascii="Arial" w:hAnsi="Arial" w:cs="Arial"/>
        </w:rPr>
        <w:t xml:space="preserve">For the first time, GRiD has captured the number of referrals that group risk insurers have made to these services. </w:t>
      </w:r>
      <w:r w:rsidR="00FD0E79" w:rsidRPr="00B57BEA">
        <w:rPr>
          <w:rFonts w:ascii="Arial" w:hAnsi="Arial" w:cs="Arial"/>
        </w:rPr>
        <w:t>7,879 people accessed extra help and support during 2017 following a referral by a group risk insurer</w:t>
      </w:r>
      <w:r w:rsidR="00C92303">
        <w:rPr>
          <w:rFonts w:ascii="Arial" w:hAnsi="Arial" w:cs="Arial"/>
        </w:rPr>
        <w:t>.</w:t>
      </w:r>
      <w:r w:rsidR="00FD0E79" w:rsidRPr="00B57BEA">
        <w:rPr>
          <w:rFonts w:ascii="Arial" w:hAnsi="Arial" w:cs="Arial"/>
        </w:rPr>
        <w:t xml:space="preserve"> </w:t>
      </w:r>
      <w:r w:rsidR="00C92303">
        <w:rPr>
          <w:rFonts w:ascii="Arial" w:hAnsi="Arial" w:cs="Arial"/>
        </w:rPr>
        <w:t>T</w:t>
      </w:r>
      <w:r w:rsidR="00316200">
        <w:rPr>
          <w:rFonts w:ascii="Arial" w:hAnsi="Arial" w:cs="Arial"/>
        </w:rPr>
        <w:t xml:space="preserve">his is </w:t>
      </w:r>
      <w:r w:rsidR="00FD0E79" w:rsidRPr="00B57BEA">
        <w:rPr>
          <w:rFonts w:ascii="Arial" w:hAnsi="Arial" w:cs="Arial"/>
        </w:rPr>
        <w:t>in addition to countless self-referrals.</w:t>
      </w:r>
    </w:p>
    <w:p w14:paraId="416FF561" w14:textId="77777777" w:rsidR="005B521C" w:rsidRPr="00B57BEA" w:rsidRDefault="005B521C" w:rsidP="00D1117B">
      <w:pPr>
        <w:pStyle w:val="NoSpacing"/>
        <w:rPr>
          <w:rFonts w:ascii="Arial" w:hAnsi="Arial" w:cs="Arial"/>
        </w:rPr>
      </w:pPr>
    </w:p>
    <w:p w14:paraId="621A0E10" w14:textId="583EFF32" w:rsidR="002F16FA" w:rsidRPr="00B57BEA" w:rsidRDefault="002F16FA" w:rsidP="00D1117B">
      <w:pPr>
        <w:pStyle w:val="NoSpacing"/>
        <w:rPr>
          <w:rFonts w:ascii="Arial" w:hAnsi="Arial" w:cs="Arial"/>
          <w:b/>
        </w:rPr>
      </w:pPr>
      <w:r w:rsidRPr="00B57BEA">
        <w:rPr>
          <w:rFonts w:ascii="Arial" w:hAnsi="Arial" w:cs="Arial"/>
          <w:b/>
        </w:rPr>
        <w:t>Main cause of claim</w:t>
      </w:r>
    </w:p>
    <w:p w14:paraId="1C9A56B4" w14:textId="07C9F1E6" w:rsidR="00E46FE8" w:rsidRPr="00B57BEA" w:rsidRDefault="00EB1E21" w:rsidP="00D1117B">
      <w:pPr>
        <w:pStyle w:val="NoSpacing"/>
        <w:rPr>
          <w:rFonts w:ascii="Arial" w:hAnsi="Arial" w:cs="Arial"/>
        </w:rPr>
      </w:pPr>
      <w:r w:rsidRPr="00B57BEA">
        <w:rPr>
          <w:rFonts w:ascii="Arial" w:hAnsi="Arial" w:cs="Arial"/>
        </w:rPr>
        <w:t xml:space="preserve">Cancer was a main cause of claim </w:t>
      </w:r>
      <w:r w:rsidR="00E46FE8" w:rsidRPr="00B57BEA">
        <w:rPr>
          <w:rFonts w:ascii="Arial" w:hAnsi="Arial" w:cs="Arial"/>
        </w:rPr>
        <w:t>across al</w:t>
      </w:r>
      <w:r w:rsidR="0098067A" w:rsidRPr="00B57BEA">
        <w:rPr>
          <w:rFonts w:ascii="Arial" w:hAnsi="Arial" w:cs="Arial"/>
        </w:rPr>
        <w:t xml:space="preserve">l three products – </w:t>
      </w:r>
      <w:r w:rsidR="00E46FE8" w:rsidRPr="00B57BEA">
        <w:rPr>
          <w:rFonts w:ascii="Arial" w:hAnsi="Arial" w:cs="Arial"/>
        </w:rPr>
        <w:t>with the highes</w:t>
      </w:r>
      <w:r w:rsidR="00E73250" w:rsidRPr="00B57BEA">
        <w:rPr>
          <w:rFonts w:ascii="Arial" w:hAnsi="Arial" w:cs="Arial"/>
        </w:rPr>
        <w:t>t for Group Critical Illness (68%), followed by Group Life</w:t>
      </w:r>
      <w:r w:rsidR="00316200">
        <w:rPr>
          <w:rFonts w:ascii="Arial" w:hAnsi="Arial" w:cs="Arial"/>
        </w:rPr>
        <w:t xml:space="preserve"> Assurance</w:t>
      </w:r>
      <w:r w:rsidR="00E73250" w:rsidRPr="00B57BEA">
        <w:rPr>
          <w:rFonts w:ascii="Arial" w:hAnsi="Arial" w:cs="Arial"/>
        </w:rPr>
        <w:t xml:space="preserve"> (43</w:t>
      </w:r>
      <w:r w:rsidR="00E46FE8" w:rsidRPr="00B57BEA">
        <w:rPr>
          <w:rFonts w:ascii="Arial" w:hAnsi="Arial" w:cs="Arial"/>
        </w:rPr>
        <w:t>%) and Group Income Protection (24</w:t>
      </w:r>
      <w:r w:rsidRPr="00B57BEA">
        <w:rPr>
          <w:rFonts w:ascii="Arial" w:hAnsi="Arial" w:cs="Arial"/>
        </w:rPr>
        <w:t>.2</w:t>
      </w:r>
      <w:r w:rsidR="00E46FE8" w:rsidRPr="00B57BEA">
        <w:rPr>
          <w:rFonts w:ascii="Arial" w:hAnsi="Arial" w:cs="Arial"/>
        </w:rPr>
        <w:t>%).</w:t>
      </w:r>
      <w:r w:rsidRPr="00B57BEA">
        <w:rPr>
          <w:rFonts w:ascii="Arial" w:hAnsi="Arial" w:cs="Arial"/>
        </w:rPr>
        <w:t xml:space="preserve"> Mental illness was marginally the top cause of claim for </w:t>
      </w:r>
      <w:r w:rsidR="007C2AB8">
        <w:rPr>
          <w:rFonts w:ascii="Arial" w:hAnsi="Arial" w:cs="Arial"/>
        </w:rPr>
        <w:t>G</w:t>
      </w:r>
      <w:r w:rsidRPr="00B57BEA">
        <w:rPr>
          <w:rFonts w:ascii="Arial" w:hAnsi="Arial" w:cs="Arial"/>
        </w:rPr>
        <w:t xml:space="preserve">roup </w:t>
      </w:r>
      <w:r w:rsidR="0012642B">
        <w:rPr>
          <w:rFonts w:ascii="Arial" w:hAnsi="Arial" w:cs="Arial"/>
        </w:rPr>
        <w:t>I</w:t>
      </w:r>
      <w:r w:rsidRPr="00B57BEA">
        <w:rPr>
          <w:rFonts w:ascii="Arial" w:hAnsi="Arial" w:cs="Arial"/>
        </w:rPr>
        <w:t xml:space="preserve">ncome </w:t>
      </w:r>
      <w:r w:rsidR="0012642B">
        <w:rPr>
          <w:rFonts w:ascii="Arial" w:hAnsi="Arial" w:cs="Arial"/>
        </w:rPr>
        <w:t>P</w:t>
      </w:r>
      <w:r w:rsidRPr="00B57BEA">
        <w:rPr>
          <w:rFonts w:ascii="Arial" w:hAnsi="Arial" w:cs="Arial"/>
        </w:rPr>
        <w:t>rotection (24.5%).</w:t>
      </w:r>
    </w:p>
    <w:p w14:paraId="67FCF787" w14:textId="77777777" w:rsidR="00E46FE8" w:rsidRPr="00B57BEA" w:rsidRDefault="00E46FE8" w:rsidP="00D1117B">
      <w:pPr>
        <w:pStyle w:val="NoSpacing"/>
        <w:rPr>
          <w:rFonts w:ascii="Arial" w:hAnsi="Arial" w:cs="Arial"/>
        </w:rPr>
      </w:pPr>
    </w:p>
    <w:p w14:paraId="00249940" w14:textId="4ACC4D7D" w:rsidR="00A071D0" w:rsidRPr="00B57BEA" w:rsidRDefault="00316200" w:rsidP="002F16FA">
      <w:pPr>
        <w:pStyle w:val="NoSpacing"/>
        <w:rPr>
          <w:rFonts w:ascii="Arial" w:hAnsi="Arial" w:cs="Arial"/>
          <w:i/>
        </w:rPr>
      </w:pPr>
      <w:r w:rsidRPr="00316200">
        <w:rPr>
          <w:rFonts w:ascii="Arial" w:hAnsi="Arial" w:cs="Arial"/>
          <w:b/>
        </w:rPr>
        <w:t>M</w:t>
      </w:r>
      <w:r w:rsidR="001A64EF" w:rsidRPr="00316200">
        <w:rPr>
          <w:rFonts w:ascii="Arial" w:hAnsi="Arial" w:cs="Arial"/>
          <w:b/>
        </w:rPr>
        <w:t>ain causes</w:t>
      </w:r>
      <w:r w:rsidR="00C23571" w:rsidRPr="00316200">
        <w:rPr>
          <w:rFonts w:ascii="Arial" w:hAnsi="Arial" w:cs="Arial"/>
          <w:b/>
        </w:rPr>
        <w:t xml:space="preserve"> of</w:t>
      </w:r>
      <w:r w:rsidR="001A64EF" w:rsidRPr="00316200">
        <w:rPr>
          <w:rFonts w:ascii="Arial" w:hAnsi="Arial" w:cs="Arial"/>
          <w:b/>
        </w:rPr>
        <w:t xml:space="preserve"> claim </w:t>
      </w:r>
      <w:r w:rsidR="00E46FE8" w:rsidRPr="00316200">
        <w:rPr>
          <w:rFonts w:ascii="Arial" w:hAnsi="Arial" w:cs="Arial"/>
          <w:b/>
        </w:rPr>
        <w:t>across all</w:t>
      </w:r>
      <w:r w:rsidR="001A64EF" w:rsidRPr="00316200">
        <w:rPr>
          <w:rFonts w:ascii="Arial" w:hAnsi="Arial" w:cs="Arial"/>
          <w:b/>
        </w:rPr>
        <w:t xml:space="preserve"> g</w:t>
      </w:r>
      <w:r w:rsidR="00E46FE8" w:rsidRPr="00316200">
        <w:rPr>
          <w:rFonts w:ascii="Arial" w:hAnsi="Arial" w:cs="Arial"/>
          <w:b/>
        </w:rPr>
        <w:t>roup</w:t>
      </w:r>
      <w:r w:rsidR="001A64EF" w:rsidRPr="00316200">
        <w:rPr>
          <w:rFonts w:ascii="Arial" w:hAnsi="Arial" w:cs="Arial"/>
          <w:b/>
        </w:rPr>
        <w:t xml:space="preserve"> r</w:t>
      </w:r>
      <w:r w:rsidR="00E46FE8" w:rsidRPr="00316200">
        <w:rPr>
          <w:rFonts w:ascii="Arial" w:hAnsi="Arial" w:cs="Arial"/>
          <w:b/>
        </w:rPr>
        <w:t>isk products</w:t>
      </w:r>
    </w:p>
    <w:p w14:paraId="25F8F54E" w14:textId="5AE76DF4" w:rsidR="008659F6" w:rsidRPr="00B57BEA" w:rsidRDefault="008659F6" w:rsidP="00604741">
      <w:pPr>
        <w:pStyle w:val="NoSpacing"/>
        <w:jc w:val="both"/>
        <w:rPr>
          <w:rFonts w:ascii="Arial" w:hAnsi="Arial" w:cs="Arial"/>
          <w:b/>
        </w:rPr>
      </w:pPr>
    </w:p>
    <w:tbl>
      <w:tblPr>
        <w:tblW w:w="10871" w:type="dxa"/>
        <w:jc w:val="center"/>
        <w:tblLook w:val="04A0" w:firstRow="1" w:lastRow="0" w:firstColumn="1" w:lastColumn="0" w:noHBand="0" w:noVBand="1"/>
      </w:tblPr>
      <w:tblGrid>
        <w:gridCol w:w="2815"/>
        <w:gridCol w:w="2420"/>
        <w:gridCol w:w="1518"/>
        <w:gridCol w:w="2410"/>
        <w:gridCol w:w="1708"/>
      </w:tblGrid>
      <w:tr w:rsidR="00AF29C3" w:rsidRPr="00B57BEA" w14:paraId="30DFA671" w14:textId="77777777" w:rsidTr="00816CAF">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0D7FBF13" w14:textId="77777777" w:rsidR="00AF29C3" w:rsidRPr="00B57BEA" w:rsidRDefault="00AF29C3"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Benefit</w:t>
            </w:r>
          </w:p>
        </w:tc>
        <w:tc>
          <w:tcPr>
            <w:tcW w:w="2420" w:type="dxa"/>
            <w:tcBorders>
              <w:top w:val="single" w:sz="8" w:space="0" w:color="auto"/>
              <w:left w:val="nil"/>
              <w:bottom w:val="single" w:sz="8" w:space="0" w:color="auto"/>
              <w:right w:val="single" w:sz="8" w:space="0" w:color="auto"/>
            </w:tcBorders>
            <w:shd w:val="clear" w:color="auto" w:fill="7030A0"/>
            <w:vAlign w:val="bottom"/>
          </w:tcPr>
          <w:p w14:paraId="78D1F7D8"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Main cause of  new claims</w:t>
            </w:r>
          </w:p>
        </w:tc>
        <w:tc>
          <w:tcPr>
            <w:tcW w:w="1518" w:type="dxa"/>
            <w:tcBorders>
              <w:top w:val="single" w:sz="8" w:space="0" w:color="auto"/>
              <w:left w:val="nil"/>
              <w:bottom w:val="single" w:sz="8" w:space="0" w:color="auto"/>
              <w:right w:val="single" w:sz="8" w:space="0" w:color="auto"/>
            </w:tcBorders>
            <w:shd w:val="clear" w:color="auto" w:fill="7030A0"/>
            <w:vAlign w:val="bottom"/>
          </w:tcPr>
          <w:p w14:paraId="2A1DFF4C"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w:t>
            </w:r>
          </w:p>
        </w:tc>
        <w:tc>
          <w:tcPr>
            <w:tcW w:w="2410" w:type="dxa"/>
            <w:tcBorders>
              <w:top w:val="single" w:sz="8" w:space="0" w:color="auto"/>
              <w:left w:val="nil"/>
              <w:bottom w:val="single" w:sz="8" w:space="0" w:color="auto"/>
              <w:right w:val="single" w:sz="8" w:space="0" w:color="auto"/>
            </w:tcBorders>
            <w:shd w:val="clear" w:color="auto" w:fill="7030A0"/>
            <w:vAlign w:val="bottom"/>
          </w:tcPr>
          <w:p w14:paraId="5BD7DAC1"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Second main cause of new claims</w:t>
            </w:r>
          </w:p>
        </w:tc>
        <w:tc>
          <w:tcPr>
            <w:tcW w:w="1708" w:type="dxa"/>
            <w:tcBorders>
              <w:top w:val="single" w:sz="8" w:space="0" w:color="auto"/>
              <w:left w:val="nil"/>
              <w:bottom w:val="single" w:sz="8" w:space="0" w:color="auto"/>
              <w:right w:val="single" w:sz="8" w:space="0" w:color="auto"/>
            </w:tcBorders>
            <w:shd w:val="clear" w:color="auto" w:fill="7030A0"/>
          </w:tcPr>
          <w:p w14:paraId="02EFF748" w14:textId="77777777" w:rsidR="00AF29C3" w:rsidRPr="00B57BEA" w:rsidRDefault="00AF29C3" w:rsidP="00FC2076">
            <w:pPr>
              <w:spacing w:after="0" w:line="240" w:lineRule="auto"/>
              <w:jc w:val="center"/>
              <w:rPr>
                <w:rFonts w:ascii="Arial" w:eastAsia="Times New Roman" w:hAnsi="Arial" w:cs="Arial"/>
                <w:color w:val="FFFFFF"/>
                <w:lang w:eastAsia="en-GB"/>
              </w:rPr>
            </w:pPr>
          </w:p>
          <w:p w14:paraId="4AEE3E7A"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w:t>
            </w:r>
          </w:p>
        </w:tc>
      </w:tr>
      <w:tr w:rsidR="00AF29C3" w:rsidRPr="00B57BEA" w14:paraId="77609CD8"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0F00F88C" w14:textId="4A653B8A" w:rsidR="00AF29C3" w:rsidRPr="00B57BEA" w:rsidRDefault="00AF29C3"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Life</w:t>
            </w:r>
            <w:r w:rsidR="0070791E">
              <w:rPr>
                <w:rFonts w:ascii="Arial" w:eastAsia="Times New Roman" w:hAnsi="Arial" w:cs="Arial"/>
                <w:color w:val="000000"/>
                <w:lang w:eastAsia="en-GB"/>
              </w:rPr>
              <w:t xml:space="preserve"> Assurance</w:t>
            </w:r>
          </w:p>
        </w:tc>
        <w:tc>
          <w:tcPr>
            <w:tcW w:w="2420" w:type="dxa"/>
            <w:tcBorders>
              <w:top w:val="nil"/>
              <w:left w:val="nil"/>
              <w:bottom w:val="single" w:sz="4" w:space="0" w:color="auto"/>
              <w:right w:val="single" w:sz="4" w:space="0" w:color="auto"/>
            </w:tcBorders>
            <w:noWrap/>
            <w:vAlign w:val="bottom"/>
          </w:tcPr>
          <w:p w14:paraId="334BCEE1"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Cancer</w:t>
            </w:r>
          </w:p>
        </w:tc>
        <w:tc>
          <w:tcPr>
            <w:tcW w:w="1518" w:type="dxa"/>
            <w:tcBorders>
              <w:top w:val="nil"/>
              <w:left w:val="nil"/>
              <w:bottom w:val="single" w:sz="4" w:space="0" w:color="auto"/>
              <w:right w:val="single" w:sz="4" w:space="0" w:color="auto"/>
            </w:tcBorders>
            <w:noWrap/>
            <w:vAlign w:val="bottom"/>
          </w:tcPr>
          <w:p w14:paraId="7E4C542B"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43%</w:t>
            </w:r>
          </w:p>
        </w:tc>
        <w:tc>
          <w:tcPr>
            <w:tcW w:w="2410" w:type="dxa"/>
            <w:tcBorders>
              <w:top w:val="nil"/>
              <w:left w:val="nil"/>
              <w:bottom w:val="single" w:sz="4" w:space="0" w:color="auto"/>
              <w:right w:val="single" w:sz="4" w:space="0" w:color="auto"/>
            </w:tcBorders>
            <w:noWrap/>
            <w:vAlign w:val="bottom"/>
          </w:tcPr>
          <w:p w14:paraId="5145EBEF"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Heart Disease</w:t>
            </w:r>
          </w:p>
        </w:tc>
        <w:tc>
          <w:tcPr>
            <w:tcW w:w="1708" w:type="dxa"/>
            <w:tcBorders>
              <w:top w:val="nil"/>
              <w:left w:val="nil"/>
              <w:bottom w:val="single" w:sz="4" w:space="0" w:color="auto"/>
              <w:right w:val="single" w:sz="4" w:space="0" w:color="auto"/>
            </w:tcBorders>
          </w:tcPr>
          <w:p w14:paraId="02790279"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14%</w:t>
            </w:r>
          </w:p>
        </w:tc>
      </w:tr>
      <w:tr w:rsidR="00AF29C3" w:rsidRPr="00B57BEA" w14:paraId="43DADC04"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506DEFD9" w14:textId="77777777" w:rsidR="00AF29C3" w:rsidRPr="00B57BEA" w:rsidRDefault="00AF29C3"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Income Protection</w:t>
            </w:r>
          </w:p>
        </w:tc>
        <w:tc>
          <w:tcPr>
            <w:tcW w:w="2420" w:type="dxa"/>
            <w:tcBorders>
              <w:top w:val="nil"/>
              <w:left w:val="nil"/>
              <w:bottom w:val="single" w:sz="4" w:space="0" w:color="auto"/>
              <w:right w:val="single" w:sz="4" w:space="0" w:color="auto"/>
            </w:tcBorders>
            <w:noWrap/>
            <w:vAlign w:val="bottom"/>
          </w:tcPr>
          <w:p w14:paraId="24973F76"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Mental Illness</w:t>
            </w:r>
          </w:p>
        </w:tc>
        <w:tc>
          <w:tcPr>
            <w:tcW w:w="1518" w:type="dxa"/>
            <w:tcBorders>
              <w:top w:val="nil"/>
              <w:left w:val="nil"/>
              <w:bottom w:val="single" w:sz="4" w:space="0" w:color="auto"/>
              <w:right w:val="single" w:sz="4" w:space="0" w:color="auto"/>
            </w:tcBorders>
            <w:noWrap/>
            <w:vAlign w:val="bottom"/>
          </w:tcPr>
          <w:p w14:paraId="596A4D5C"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24.5%</w:t>
            </w:r>
          </w:p>
        </w:tc>
        <w:tc>
          <w:tcPr>
            <w:tcW w:w="2410" w:type="dxa"/>
            <w:tcBorders>
              <w:top w:val="nil"/>
              <w:left w:val="nil"/>
              <w:bottom w:val="single" w:sz="4" w:space="0" w:color="auto"/>
              <w:right w:val="single" w:sz="4" w:space="0" w:color="auto"/>
            </w:tcBorders>
            <w:noWrap/>
            <w:vAlign w:val="bottom"/>
          </w:tcPr>
          <w:p w14:paraId="5E26A4CD"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Cancer</w:t>
            </w:r>
          </w:p>
        </w:tc>
        <w:tc>
          <w:tcPr>
            <w:tcW w:w="1708" w:type="dxa"/>
            <w:tcBorders>
              <w:top w:val="nil"/>
              <w:left w:val="nil"/>
              <w:bottom w:val="single" w:sz="4" w:space="0" w:color="auto"/>
              <w:right w:val="single" w:sz="4" w:space="0" w:color="auto"/>
            </w:tcBorders>
          </w:tcPr>
          <w:p w14:paraId="0B8D3946" w14:textId="4B35A7B9"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24.2</w:t>
            </w:r>
            <w:r w:rsidR="00847AC6">
              <w:rPr>
                <w:rFonts w:ascii="Arial" w:eastAsia="Times New Roman" w:hAnsi="Arial" w:cs="Arial"/>
                <w:color w:val="000000"/>
                <w:lang w:eastAsia="en-GB"/>
              </w:rPr>
              <w:t>%</w:t>
            </w:r>
          </w:p>
        </w:tc>
      </w:tr>
      <w:tr w:rsidR="00AF29C3" w:rsidRPr="00B57BEA" w14:paraId="01D4E785" w14:textId="77777777" w:rsidTr="00FC2076">
        <w:trPr>
          <w:trHeight w:val="260"/>
          <w:jc w:val="center"/>
        </w:trPr>
        <w:tc>
          <w:tcPr>
            <w:tcW w:w="2815" w:type="dxa"/>
            <w:tcBorders>
              <w:top w:val="nil"/>
              <w:left w:val="single" w:sz="4" w:space="0" w:color="auto"/>
              <w:bottom w:val="nil"/>
              <w:right w:val="single" w:sz="4" w:space="0" w:color="auto"/>
            </w:tcBorders>
            <w:noWrap/>
            <w:vAlign w:val="bottom"/>
          </w:tcPr>
          <w:p w14:paraId="3E375806" w14:textId="77777777" w:rsidR="00AF29C3" w:rsidRPr="00B57BEA" w:rsidRDefault="00AF29C3"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Critical Illness</w:t>
            </w:r>
          </w:p>
        </w:tc>
        <w:tc>
          <w:tcPr>
            <w:tcW w:w="2420" w:type="dxa"/>
            <w:tcBorders>
              <w:top w:val="nil"/>
              <w:left w:val="nil"/>
              <w:bottom w:val="nil"/>
              <w:right w:val="single" w:sz="4" w:space="0" w:color="auto"/>
            </w:tcBorders>
            <w:noWrap/>
            <w:vAlign w:val="bottom"/>
          </w:tcPr>
          <w:p w14:paraId="6C38BE76"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Cancer</w:t>
            </w:r>
          </w:p>
        </w:tc>
        <w:tc>
          <w:tcPr>
            <w:tcW w:w="1518" w:type="dxa"/>
            <w:tcBorders>
              <w:top w:val="nil"/>
              <w:left w:val="nil"/>
              <w:bottom w:val="nil"/>
              <w:right w:val="single" w:sz="4" w:space="0" w:color="auto"/>
            </w:tcBorders>
            <w:noWrap/>
            <w:vAlign w:val="bottom"/>
          </w:tcPr>
          <w:p w14:paraId="57EF9E5D"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68%</w:t>
            </w:r>
          </w:p>
        </w:tc>
        <w:tc>
          <w:tcPr>
            <w:tcW w:w="2410" w:type="dxa"/>
            <w:tcBorders>
              <w:top w:val="nil"/>
              <w:left w:val="nil"/>
              <w:bottom w:val="nil"/>
              <w:right w:val="single" w:sz="4" w:space="0" w:color="auto"/>
            </w:tcBorders>
            <w:noWrap/>
            <w:vAlign w:val="bottom"/>
          </w:tcPr>
          <w:p w14:paraId="1E9B4C66"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Heart Attack</w:t>
            </w:r>
          </w:p>
        </w:tc>
        <w:tc>
          <w:tcPr>
            <w:tcW w:w="1708" w:type="dxa"/>
            <w:tcBorders>
              <w:top w:val="nil"/>
              <w:left w:val="nil"/>
              <w:bottom w:val="nil"/>
              <w:right w:val="single" w:sz="4" w:space="0" w:color="auto"/>
            </w:tcBorders>
          </w:tcPr>
          <w:p w14:paraId="46CEAD23"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9%</w:t>
            </w:r>
          </w:p>
        </w:tc>
      </w:tr>
      <w:tr w:rsidR="00AF29C3" w:rsidRPr="00B57BEA" w14:paraId="0C4F98AB" w14:textId="77777777" w:rsidTr="00816CAF">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5FC27796" w14:textId="77777777" w:rsidR="00AF29C3" w:rsidRPr="00B57BEA" w:rsidRDefault="00AF29C3" w:rsidP="00FC2076">
            <w:pPr>
              <w:spacing w:after="0" w:line="240" w:lineRule="auto"/>
              <w:jc w:val="both"/>
              <w:rPr>
                <w:rFonts w:ascii="Arial" w:eastAsia="Times New Roman" w:hAnsi="Arial" w:cs="Arial"/>
                <w:b/>
                <w:color w:val="FFFFFF"/>
                <w:lang w:eastAsia="en-GB"/>
              </w:rPr>
            </w:pPr>
          </w:p>
        </w:tc>
        <w:tc>
          <w:tcPr>
            <w:tcW w:w="2420" w:type="dxa"/>
            <w:tcBorders>
              <w:top w:val="single" w:sz="8" w:space="0" w:color="auto"/>
              <w:left w:val="nil"/>
              <w:bottom w:val="single" w:sz="8" w:space="0" w:color="auto"/>
              <w:right w:val="single" w:sz="8" w:space="0" w:color="auto"/>
            </w:tcBorders>
            <w:shd w:val="clear" w:color="auto" w:fill="7030A0"/>
            <w:noWrap/>
            <w:vAlign w:val="bottom"/>
          </w:tcPr>
          <w:p w14:paraId="42729E05" w14:textId="77777777" w:rsidR="00AF29C3" w:rsidRPr="00B57BEA" w:rsidRDefault="00AF29C3" w:rsidP="00FC2076">
            <w:pPr>
              <w:spacing w:after="0" w:line="240" w:lineRule="auto"/>
              <w:jc w:val="right"/>
              <w:rPr>
                <w:rFonts w:ascii="Arial" w:eastAsia="Times New Roman" w:hAnsi="Arial" w:cs="Arial"/>
                <w:b/>
                <w:color w:val="FFFFFF"/>
                <w:lang w:eastAsia="en-GB"/>
              </w:rPr>
            </w:pPr>
          </w:p>
        </w:tc>
        <w:tc>
          <w:tcPr>
            <w:tcW w:w="1518" w:type="dxa"/>
            <w:tcBorders>
              <w:top w:val="single" w:sz="8" w:space="0" w:color="auto"/>
              <w:left w:val="nil"/>
              <w:bottom w:val="single" w:sz="8" w:space="0" w:color="auto"/>
              <w:right w:val="single" w:sz="8" w:space="0" w:color="auto"/>
            </w:tcBorders>
            <w:shd w:val="clear" w:color="auto" w:fill="7030A0"/>
            <w:noWrap/>
            <w:vAlign w:val="bottom"/>
          </w:tcPr>
          <w:p w14:paraId="4224FF35" w14:textId="77777777" w:rsidR="00AF29C3" w:rsidRPr="00B57BEA" w:rsidRDefault="00AF29C3" w:rsidP="00FC2076">
            <w:pPr>
              <w:spacing w:after="0" w:line="240" w:lineRule="auto"/>
              <w:jc w:val="center"/>
              <w:rPr>
                <w:rFonts w:ascii="Arial" w:eastAsia="Times New Roman" w:hAnsi="Arial" w:cs="Arial"/>
                <w:b/>
                <w:color w:val="FFFFFF"/>
                <w:lang w:eastAsia="en-GB"/>
              </w:rPr>
            </w:pPr>
          </w:p>
        </w:tc>
        <w:tc>
          <w:tcPr>
            <w:tcW w:w="2410" w:type="dxa"/>
            <w:tcBorders>
              <w:top w:val="single" w:sz="8" w:space="0" w:color="auto"/>
              <w:left w:val="nil"/>
              <w:bottom w:val="single" w:sz="8" w:space="0" w:color="auto"/>
              <w:right w:val="single" w:sz="8" w:space="0" w:color="auto"/>
            </w:tcBorders>
            <w:shd w:val="clear" w:color="auto" w:fill="7030A0"/>
            <w:noWrap/>
            <w:vAlign w:val="bottom"/>
          </w:tcPr>
          <w:p w14:paraId="205F627B" w14:textId="77777777" w:rsidR="00AF29C3" w:rsidRPr="00B57BEA" w:rsidRDefault="00AF29C3" w:rsidP="00FC2076">
            <w:pPr>
              <w:spacing w:after="0" w:line="240" w:lineRule="auto"/>
              <w:jc w:val="both"/>
              <w:rPr>
                <w:rFonts w:ascii="Arial" w:eastAsia="Times New Roman" w:hAnsi="Arial" w:cs="Arial"/>
                <w:b/>
                <w:color w:val="FFFFFF"/>
                <w:lang w:eastAsia="en-GB"/>
              </w:rPr>
            </w:pPr>
          </w:p>
        </w:tc>
        <w:tc>
          <w:tcPr>
            <w:tcW w:w="1708" w:type="dxa"/>
            <w:tcBorders>
              <w:top w:val="single" w:sz="8" w:space="0" w:color="auto"/>
              <w:left w:val="nil"/>
              <w:bottom w:val="single" w:sz="8" w:space="0" w:color="auto"/>
              <w:right w:val="single" w:sz="8" w:space="0" w:color="auto"/>
            </w:tcBorders>
            <w:shd w:val="clear" w:color="auto" w:fill="7030A0"/>
          </w:tcPr>
          <w:p w14:paraId="0651D471" w14:textId="77777777" w:rsidR="00AF29C3" w:rsidRPr="00B57BEA" w:rsidRDefault="00AF29C3" w:rsidP="00FC2076">
            <w:pPr>
              <w:spacing w:after="0" w:line="240" w:lineRule="auto"/>
              <w:jc w:val="both"/>
              <w:rPr>
                <w:rFonts w:ascii="Arial" w:eastAsia="Times New Roman" w:hAnsi="Arial" w:cs="Arial"/>
                <w:color w:val="FFFFFF"/>
                <w:lang w:eastAsia="en-GB"/>
              </w:rPr>
            </w:pPr>
          </w:p>
        </w:tc>
      </w:tr>
    </w:tbl>
    <w:p w14:paraId="6E5D5E99" w14:textId="77777777" w:rsidR="00647713" w:rsidRPr="00B57BEA" w:rsidRDefault="00647713" w:rsidP="002F16FA">
      <w:pPr>
        <w:pStyle w:val="NoSpacing"/>
        <w:rPr>
          <w:rFonts w:ascii="Arial" w:hAnsi="Arial" w:cs="Arial"/>
          <w:b/>
        </w:rPr>
      </w:pPr>
    </w:p>
    <w:p w14:paraId="11B162BD" w14:textId="77777777" w:rsidR="00BB5F48" w:rsidRPr="00B57BEA" w:rsidRDefault="00BB5F48" w:rsidP="002F16FA">
      <w:pPr>
        <w:pStyle w:val="NoSpacing"/>
        <w:rPr>
          <w:rFonts w:ascii="Arial" w:hAnsi="Arial" w:cs="Arial"/>
          <w:b/>
        </w:rPr>
      </w:pPr>
    </w:p>
    <w:p w14:paraId="498495A3" w14:textId="1AC740F8" w:rsidR="00647713" w:rsidRPr="00B57BEA" w:rsidRDefault="002F16FA" w:rsidP="00D1117B">
      <w:pPr>
        <w:pStyle w:val="NoSpacing"/>
        <w:rPr>
          <w:rFonts w:ascii="Arial" w:hAnsi="Arial" w:cs="Arial"/>
          <w:b/>
        </w:rPr>
      </w:pPr>
      <w:r w:rsidRPr="00B57BEA">
        <w:rPr>
          <w:rFonts w:ascii="Arial" w:hAnsi="Arial" w:cs="Arial"/>
          <w:b/>
        </w:rPr>
        <w:lastRenderedPageBreak/>
        <w:t>Paying claims</w:t>
      </w:r>
    </w:p>
    <w:p w14:paraId="69C357AA" w14:textId="51225B51" w:rsidR="00436F94" w:rsidRDefault="00BB43CF" w:rsidP="00D1117B">
      <w:pPr>
        <w:pStyle w:val="NoSpacing"/>
        <w:rPr>
          <w:rFonts w:ascii="Arial" w:hAnsi="Arial" w:cs="Arial"/>
        </w:rPr>
      </w:pPr>
      <w:r w:rsidRPr="00B57BEA">
        <w:rPr>
          <w:rFonts w:ascii="Arial" w:hAnsi="Arial" w:cs="Arial"/>
        </w:rPr>
        <w:t xml:space="preserve">Group </w:t>
      </w:r>
      <w:r w:rsidR="008A6B4F" w:rsidRPr="00B57BEA">
        <w:rPr>
          <w:rFonts w:ascii="Arial" w:hAnsi="Arial" w:cs="Arial"/>
        </w:rPr>
        <w:t>r</w:t>
      </w:r>
      <w:r w:rsidRPr="00B57BEA">
        <w:rPr>
          <w:rFonts w:ascii="Arial" w:hAnsi="Arial" w:cs="Arial"/>
        </w:rPr>
        <w:t xml:space="preserve">isk insurers </w:t>
      </w:r>
      <w:r w:rsidR="00917AE9">
        <w:rPr>
          <w:rFonts w:ascii="Arial" w:hAnsi="Arial" w:cs="Arial"/>
        </w:rPr>
        <w:t xml:space="preserve">always </w:t>
      </w:r>
      <w:r w:rsidRPr="00B57BEA">
        <w:rPr>
          <w:rFonts w:ascii="Arial" w:hAnsi="Arial" w:cs="Arial"/>
        </w:rPr>
        <w:t>look for reasons to pay claims</w:t>
      </w:r>
      <w:r w:rsidR="00520946" w:rsidRPr="00B57BEA">
        <w:rPr>
          <w:rFonts w:ascii="Arial" w:hAnsi="Arial" w:cs="Arial"/>
        </w:rPr>
        <w:t xml:space="preserve"> but</w:t>
      </w:r>
      <w:r w:rsidR="002F16FA" w:rsidRPr="00B57BEA">
        <w:rPr>
          <w:rFonts w:ascii="Arial" w:hAnsi="Arial" w:cs="Arial"/>
        </w:rPr>
        <w:t xml:space="preserve"> </w:t>
      </w:r>
      <w:r w:rsidRPr="00B57BEA">
        <w:rPr>
          <w:rFonts w:ascii="Arial" w:hAnsi="Arial" w:cs="Arial"/>
        </w:rPr>
        <w:t>it</w:t>
      </w:r>
      <w:r w:rsidR="00520946" w:rsidRPr="00B57BEA">
        <w:rPr>
          <w:rFonts w:ascii="Arial" w:hAnsi="Arial" w:cs="Arial"/>
        </w:rPr>
        <w:t>’</w:t>
      </w:r>
      <w:r w:rsidRPr="00B57BEA">
        <w:rPr>
          <w:rFonts w:ascii="Arial" w:hAnsi="Arial" w:cs="Arial"/>
        </w:rPr>
        <w:t>s important for all policyholders that only valid claims are paid</w:t>
      </w:r>
      <w:r w:rsidR="00520946" w:rsidRPr="00B57BEA">
        <w:rPr>
          <w:rFonts w:ascii="Arial" w:hAnsi="Arial" w:cs="Arial"/>
        </w:rPr>
        <w:t xml:space="preserve">, in the same way as it is for (say) motor insurance. Otherwise the cost of these benefits would increase </w:t>
      </w:r>
      <w:r w:rsidR="00316200" w:rsidRPr="00B57BEA">
        <w:rPr>
          <w:rFonts w:ascii="Arial" w:hAnsi="Arial" w:cs="Arial"/>
        </w:rPr>
        <w:t xml:space="preserve">unfairly </w:t>
      </w:r>
      <w:r w:rsidR="00520946" w:rsidRPr="00B57BEA">
        <w:rPr>
          <w:rFonts w:ascii="Arial" w:hAnsi="Arial" w:cs="Arial"/>
        </w:rPr>
        <w:t xml:space="preserve">for </w:t>
      </w:r>
      <w:r w:rsidR="005427EE">
        <w:rPr>
          <w:rFonts w:ascii="Arial" w:hAnsi="Arial" w:cs="Arial"/>
        </w:rPr>
        <w:t>everyone</w:t>
      </w:r>
      <w:r w:rsidRPr="00B57BEA">
        <w:rPr>
          <w:rFonts w:ascii="Arial" w:hAnsi="Arial" w:cs="Arial"/>
        </w:rPr>
        <w:t xml:space="preserve">. </w:t>
      </w:r>
    </w:p>
    <w:p w14:paraId="2626FCBA" w14:textId="34E80DE9" w:rsidR="00AC422B" w:rsidRDefault="00AC422B" w:rsidP="00D1117B">
      <w:pPr>
        <w:pStyle w:val="NoSpacing"/>
        <w:rPr>
          <w:rFonts w:ascii="Arial" w:hAnsi="Arial" w:cs="Arial"/>
        </w:rPr>
      </w:pPr>
    </w:p>
    <w:p w14:paraId="320A094D" w14:textId="39E0E1BB" w:rsidR="007D3392" w:rsidRDefault="00917AE9" w:rsidP="00D1117B">
      <w:pPr>
        <w:pStyle w:val="NoSpacing"/>
        <w:rPr>
          <w:rFonts w:ascii="Arial" w:hAnsi="Arial" w:cs="Arial"/>
        </w:rPr>
      </w:pPr>
      <w:r>
        <w:rPr>
          <w:rFonts w:ascii="Arial" w:hAnsi="Arial" w:cs="Arial"/>
        </w:rPr>
        <w:t>V</w:t>
      </w:r>
      <w:r w:rsidR="007D3392" w:rsidRPr="00B03C45">
        <w:rPr>
          <w:rFonts w:ascii="Arial" w:hAnsi="Arial" w:cs="Arial"/>
        </w:rPr>
        <w:t>ery few claims</w:t>
      </w:r>
      <w:r>
        <w:rPr>
          <w:rFonts w:ascii="Arial" w:hAnsi="Arial" w:cs="Arial"/>
        </w:rPr>
        <w:t xml:space="preserve"> are</w:t>
      </w:r>
      <w:r w:rsidR="007D3392" w:rsidRPr="00B244DB">
        <w:rPr>
          <w:rFonts w:ascii="Arial" w:hAnsi="Arial" w:cs="Arial"/>
        </w:rPr>
        <w:t xml:space="preserve"> declined for </w:t>
      </w:r>
      <w:r w:rsidR="007D3392">
        <w:rPr>
          <w:rFonts w:ascii="Arial" w:hAnsi="Arial" w:cs="Arial"/>
        </w:rPr>
        <w:t>g</w:t>
      </w:r>
      <w:r w:rsidR="007D3392" w:rsidRPr="00B244DB">
        <w:rPr>
          <w:rFonts w:ascii="Arial" w:hAnsi="Arial" w:cs="Arial"/>
        </w:rPr>
        <w:t xml:space="preserve">roup </w:t>
      </w:r>
      <w:r w:rsidR="007D3392">
        <w:rPr>
          <w:rFonts w:ascii="Arial" w:hAnsi="Arial" w:cs="Arial"/>
        </w:rPr>
        <w:t>l</w:t>
      </w:r>
      <w:r w:rsidR="007D3392" w:rsidRPr="00B244DB">
        <w:rPr>
          <w:rFonts w:ascii="Arial" w:hAnsi="Arial" w:cs="Arial"/>
        </w:rPr>
        <w:t xml:space="preserve">ife </w:t>
      </w:r>
      <w:r w:rsidR="007D3392">
        <w:rPr>
          <w:rFonts w:ascii="Arial" w:hAnsi="Arial" w:cs="Arial"/>
        </w:rPr>
        <w:t>assurance</w:t>
      </w:r>
      <w:r w:rsidR="007D3392" w:rsidRPr="00B244DB">
        <w:rPr>
          <w:rFonts w:ascii="Arial" w:hAnsi="Arial" w:cs="Arial"/>
        </w:rPr>
        <w:t>.</w:t>
      </w:r>
    </w:p>
    <w:p w14:paraId="78983DAA" w14:textId="0382A2F7" w:rsidR="00345FAF" w:rsidRDefault="00345FAF" w:rsidP="00D1117B">
      <w:pPr>
        <w:pStyle w:val="NoSpacing"/>
        <w:rPr>
          <w:rFonts w:ascii="Arial" w:hAnsi="Arial" w:cs="Arial"/>
        </w:rPr>
      </w:pPr>
    </w:p>
    <w:p w14:paraId="557F1F7F" w14:textId="5BF98851" w:rsidR="00345FAF" w:rsidRDefault="00345FAF" w:rsidP="00345FAF">
      <w:pPr>
        <w:pStyle w:val="NoSpacing"/>
        <w:rPr>
          <w:rFonts w:ascii="Arial" w:hAnsi="Arial" w:cs="Arial"/>
        </w:rPr>
      </w:pPr>
      <w:r w:rsidRPr="00B57BEA">
        <w:rPr>
          <w:rFonts w:ascii="Arial" w:hAnsi="Arial" w:cs="Arial"/>
        </w:rPr>
        <w:t xml:space="preserve">For group income protection and group critical illness claims, </w:t>
      </w:r>
      <w:r w:rsidR="007D3392">
        <w:rPr>
          <w:rFonts w:ascii="Arial" w:hAnsi="Arial" w:cs="Arial"/>
        </w:rPr>
        <w:t xml:space="preserve">the numbers </w:t>
      </w:r>
      <w:r w:rsidR="00917AE9">
        <w:rPr>
          <w:rFonts w:ascii="Arial" w:hAnsi="Arial" w:cs="Arial"/>
        </w:rPr>
        <w:t xml:space="preserve">declined </w:t>
      </w:r>
      <w:r w:rsidR="007D3392">
        <w:rPr>
          <w:rFonts w:ascii="Arial" w:hAnsi="Arial" w:cs="Arial"/>
        </w:rPr>
        <w:t xml:space="preserve">are higher. </w:t>
      </w:r>
      <w:r w:rsidR="007A7117">
        <w:rPr>
          <w:rFonts w:ascii="Arial" w:hAnsi="Arial" w:cs="Arial"/>
        </w:rPr>
        <w:t>A common</w:t>
      </w:r>
      <w:r w:rsidR="007D3392">
        <w:rPr>
          <w:rFonts w:ascii="Arial" w:hAnsi="Arial" w:cs="Arial"/>
        </w:rPr>
        <w:t xml:space="preserve"> reason for this is that </w:t>
      </w:r>
      <w:r w:rsidRPr="00B57BEA">
        <w:rPr>
          <w:rFonts w:ascii="Arial" w:hAnsi="Arial" w:cs="Arial"/>
        </w:rPr>
        <w:t>it can sometimes be difficult for an employer to be sure that the claim an employee wants to make is either genuine or something that is valid under the policy. The advice given to them generally is to submit the claim for the group risk insurer to consider. In these circumstances, the employer can then uphold their role and meet their obligations as the employee’s advocate. Such claims are captured as declined in GRiD’s reporting, even where there would have been no real expectation on the employer’s (and often the employee’s) behalf that the claim would be paid.</w:t>
      </w:r>
    </w:p>
    <w:p w14:paraId="50C98161" w14:textId="7C9F4687" w:rsidR="007D3392" w:rsidRDefault="007D3392" w:rsidP="00345FAF">
      <w:pPr>
        <w:pStyle w:val="NoSpacing"/>
        <w:rPr>
          <w:rFonts w:ascii="Arial" w:hAnsi="Arial" w:cs="Arial"/>
        </w:rPr>
      </w:pPr>
    </w:p>
    <w:p w14:paraId="0561935F" w14:textId="6BC42A24" w:rsidR="007D3392" w:rsidRPr="00B244DB" w:rsidRDefault="007D3392" w:rsidP="00345FAF">
      <w:pPr>
        <w:pStyle w:val="NoSpacing"/>
        <w:rPr>
          <w:rFonts w:ascii="Arial" w:hAnsi="Arial" w:cs="Arial"/>
          <w:b/>
        </w:rPr>
      </w:pPr>
      <w:r>
        <w:rPr>
          <w:rFonts w:ascii="Arial" w:hAnsi="Arial" w:cs="Arial"/>
        </w:rPr>
        <w:t>The table below highlights the main reasons for declin</w:t>
      </w:r>
      <w:r w:rsidR="00917AE9">
        <w:rPr>
          <w:rFonts w:ascii="Arial" w:hAnsi="Arial" w:cs="Arial"/>
        </w:rPr>
        <w:t>ing</w:t>
      </w:r>
      <w:r>
        <w:rPr>
          <w:rFonts w:ascii="Arial" w:hAnsi="Arial" w:cs="Arial"/>
        </w:rPr>
        <w:t xml:space="preserve"> claims across all three group risk products. </w:t>
      </w:r>
      <w:r w:rsidRPr="00B244DB">
        <w:rPr>
          <w:rFonts w:ascii="Arial" w:hAnsi="Arial" w:cs="Arial"/>
          <w:b/>
        </w:rPr>
        <w:t>There is further explanation and detail in the attached FAQs document.</w:t>
      </w:r>
    </w:p>
    <w:p w14:paraId="2F80B5CB" w14:textId="77CAF114" w:rsidR="007E47BF" w:rsidRPr="00B57BEA" w:rsidRDefault="007E47BF" w:rsidP="00D1117B">
      <w:pPr>
        <w:pStyle w:val="NoSpacing"/>
        <w:rPr>
          <w:rFonts w:ascii="Arial" w:hAnsi="Arial" w:cs="Arial"/>
        </w:rPr>
      </w:pPr>
    </w:p>
    <w:p w14:paraId="4A70004C" w14:textId="66C35EDE" w:rsidR="007E47BF" w:rsidRPr="0070791E" w:rsidRDefault="00CC4CA6" w:rsidP="007E47BF">
      <w:pPr>
        <w:pStyle w:val="NoSpacing"/>
        <w:rPr>
          <w:rFonts w:ascii="Arial" w:hAnsi="Arial" w:cs="Arial"/>
          <w:b/>
        </w:rPr>
      </w:pPr>
      <w:r>
        <w:rPr>
          <w:rFonts w:ascii="Arial" w:hAnsi="Arial" w:cs="Arial"/>
          <w:b/>
        </w:rPr>
        <w:t>M</w:t>
      </w:r>
      <w:r w:rsidR="007E47BF" w:rsidRPr="0070791E">
        <w:rPr>
          <w:rFonts w:ascii="Arial" w:hAnsi="Arial" w:cs="Arial"/>
          <w:b/>
        </w:rPr>
        <w:t xml:space="preserve">ain </w:t>
      </w:r>
      <w:r w:rsidR="005650A9">
        <w:rPr>
          <w:rFonts w:ascii="Arial" w:hAnsi="Arial" w:cs="Arial"/>
          <w:b/>
        </w:rPr>
        <w:t>reasons</w:t>
      </w:r>
      <w:r w:rsidR="007E47BF" w:rsidRPr="0070791E">
        <w:rPr>
          <w:rFonts w:ascii="Arial" w:hAnsi="Arial" w:cs="Arial"/>
          <w:b/>
        </w:rPr>
        <w:t xml:space="preserve"> for declining claims across all group risk products</w:t>
      </w:r>
    </w:p>
    <w:p w14:paraId="52CB974D" w14:textId="77777777" w:rsidR="007E47BF" w:rsidRPr="00B57BEA" w:rsidRDefault="007E47BF" w:rsidP="007E47BF">
      <w:pPr>
        <w:pStyle w:val="NoSpacing"/>
        <w:jc w:val="both"/>
        <w:rPr>
          <w:rFonts w:ascii="Arial" w:hAnsi="Arial" w:cs="Arial"/>
        </w:rPr>
      </w:pPr>
    </w:p>
    <w:tbl>
      <w:tblPr>
        <w:tblW w:w="10871" w:type="dxa"/>
        <w:jc w:val="center"/>
        <w:tblLook w:val="04A0" w:firstRow="1" w:lastRow="0" w:firstColumn="1" w:lastColumn="0" w:noHBand="0" w:noVBand="1"/>
      </w:tblPr>
      <w:tblGrid>
        <w:gridCol w:w="2815"/>
        <w:gridCol w:w="2420"/>
        <w:gridCol w:w="1518"/>
        <w:gridCol w:w="2410"/>
        <w:gridCol w:w="1708"/>
      </w:tblGrid>
      <w:tr w:rsidR="007E47BF" w:rsidRPr="00B57BEA" w14:paraId="7DC65D6D"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67783871" w14:textId="77777777" w:rsidR="007E47BF" w:rsidRPr="00B57BEA" w:rsidRDefault="007E47BF" w:rsidP="00FC2076">
            <w:pPr>
              <w:pStyle w:val="NoSpacing"/>
              <w:jc w:val="both"/>
              <w:rPr>
                <w:rFonts w:ascii="Arial" w:hAnsi="Arial" w:cs="Arial"/>
                <w:color w:val="FFFFFF" w:themeColor="background1"/>
              </w:rPr>
            </w:pPr>
            <w:r w:rsidRPr="00B57BEA">
              <w:rPr>
                <w:rFonts w:ascii="Arial" w:hAnsi="Arial" w:cs="Arial"/>
                <w:color w:val="FFFFFF" w:themeColor="background1"/>
              </w:rPr>
              <w:t>Benefit</w:t>
            </w:r>
          </w:p>
        </w:tc>
        <w:tc>
          <w:tcPr>
            <w:tcW w:w="2420" w:type="dxa"/>
            <w:tcBorders>
              <w:top w:val="single" w:sz="8" w:space="0" w:color="auto"/>
              <w:left w:val="nil"/>
              <w:bottom w:val="single" w:sz="8" w:space="0" w:color="auto"/>
              <w:right w:val="single" w:sz="8" w:space="0" w:color="auto"/>
            </w:tcBorders>
            <w:shd w:val="clear" w:color="auto" w:fill="7030A0"/>
            <w:vAlign w:val="bottom"/>
          </w:tcPr>
          <w:p w14:paraId="0A1A2E3B" w14:textId="445C5CA8" w:rsidR="007E47BF" w:rsidRPr="00B57BEA" w:rsidRDefault="007E47BF" w:rsidP="00FC2076">
            <w:pPr>
              <w:pStyle w:val="NoSpacing"/>
              <w:jc w:val="center"/>
              <w:rPr>
                <w:rFonts w:ascii="Arial" w:hAnsi="Arial" w:cs="Arial"/>
                <w:color w:val="FFFFFF" w:themeColor="background1"/>
              </w:rPr>
            </w:pPr>
            <w:r w:rsidRPr="00B57BEA">
              <w:rPr>
                <w:rFonts w:ascii="Arial" w:hAnsi="Arial" w:cs="Arial"/>
                <w:color w:val="FFFFFF" w:themeColor="background1"/>
              </w:rPr>
              <w:t>Main cause of  declining claims</w:t>
            </w:r>
            <w:r w:rsidR="00A54811">
              <w:rPr>
                <w:rFonts w:ascii="Arial" w:hAnsi="Arial" w:cs="Arial"/>
                <w:color w:val="FFFFFF" w:themeColor="background1"/>
              </w:rPr>
              <w:t>****</w:t>
            </w:r>
          </w:p>
        </w:tc>
        <w:tc>
          <w:tcPr>
            <w:tcW w:w="1518" w:type="dxa"/>
            <w:tcBorders>
              <w:top w:val="single" w:sz="8" w:space="0" w:color="auto"/>
              <w:left w:val="nil"/>
              <w:bottom w:val="single" w:sz="8" w:space="0" w:color="auto"/>
              <w:right w:val="single" w:sz="8" w:space="0" w:color="auto"/>
            </w:tcBorders>
            <w:shd w:val="clear" w:color="auto" w:fill="7030A0"/>
            <w:vAlign w:val="bottom"/>
          </w:tcPr>
          <w:p w14:paraId="296C457B" w14:textId="1F036E6A" w:rsidR="007E47BF" w:rsidRPr="00B57BEA" w:rsidRDefault="0059274B" w:rsidP="00FC2076">
            <w:pPr>
              <w:pStyle w:val="NoSpacing"/>
              <w:jc w:val="center"/>
              <w:rPr>
                <w:rFonts w:ascii="Arial" w:hAnsi="Arial" w:cs="Arial"/>
                <w:color w:val="FFFFFF" w:themeColor="background1"/>
              </w:rPr>
            </w:pPr>
            <w:r>
              <w:rPr>
                <w:rFonts w:ascii="Arial" w:hAnsi="Arial" w:cs="Arial"/>
                <w:color w:val="FFFFFF" w:themeColor="background1"/>
              </w:rPr>
              <w:t>Number (</w:t>
            </w:r>
            <w:r w:rsidR="007E47BF" w:rsidRPr="00B57BEA">
              <w:rPr>
                <w:rFonts w:ascii="Arial" w:hAnsi="Arial" w:cs="Arial"/>
                <w:color w:val="FFFFFF" w:themeColor="background1"/>
              </w:rPr>
              <w:t>%</w:t>
            </w:r>
            <w:r>
              <w:rPr>
                <w:rFonts w:ascii="Arial" w:hAnsi="Arial" w:cs="Arial"/>
                <w:color w:val="FFFFFF" w:themeColor="background1"/>
              </w:rPr>
              <w:t>)</w:t>
            </w:r>
          </w:p>
        </w:tc>
        <w:tc>
          <w:tcPr>
            <w:tcW w:w="2410" w:type="dxa"/>
            <w:tcBorders>
              <w:top w:val="single" w:sz="8" w:space="0" w:color="auto"/>
              <w:left w:val="nil"/>
              <w:bottom w:val="single" w:sz="8" w:space="0" w:color="auto"/>
              <w:right w:val="single" w:sz="8" w:space="0" w:color="auto"/>
            </w:tcBorders>
            <w:shd w:val="clear" w:color="auto" w:fill="7030A0"/>
            <w:vAlign w:val="bottom"/>
          </w:tcPr>
          <w:p w14:paraId="39B2546E" w14:textId="26609A6B" w:rsidR="007E47BF" w:rsidRPr="00B57BEA" w:rsidRDefault="007E47BF" w:rsidP="00FC2076">
            <w:pPr>
              <w:pStyle w:val="NoSpacing"/>
              <w:jc w:val="center"/>
              <w:rPr>
                <w:rFonts w:ascii="Arial" w:hAnsi="Arial" w:cs="Arial"/>
                <w:color w:val="FFFFFF" w:themeColor="background1"/>
              </w:rPr>
            </w:pPr>
            <w:r w:rsidRPr="00B57BEA">
              <w:rPr>
                <w:rFonts w:ascii="Arial" w:hAnsi="Arial" w:cs="Arial"/>
                <w:color w:val="FFFFFF" w:themeColor="background1"/>
              </w:rPr>
              <w:t>Second main cause of declining claims</w:t>
            </w:r>
            <w:r w:rsidR="00A54811">
              <w:rPr>
                <w:rFonts w:ascii="Arial" w:hAnsi="Arial" w:cs="Arial"/>
                <w:color w:val="FFFFFF" w:themeColor="background1"/>
              </w:rPr>
              <w:t>****</w:t>
            </w:r>
          </w:p>
        </w:tc>
        <w:tc>
          <w:tcPr>
            <w:tcW w:w="1708" w:type="dxa"/>
            <w:tcBorders>
              <w:top w:val="single" w:sz="8" w:space="0" w:color="auto"/>
              <w:left w:val="nil"/>
              <w:bottom w:val="single" w:sz="8" w:space="0" w:color="auto"/>
              <w:right w:val="single" w:sz="8" w:space="0" w:color="auto"/>
            </w:tcBorders>
            <w:shd w:val="clear" w:color="auto" w:fill="7030A0"/>
          </w:tcPr>
          <w:p w14:paraId="095DC426" w14:textId="77777777" w:rsidR="007E47BF" w:rsidRPr="00B57BEA" w:rsidRDefault="007E47BF" w:rsidP="00FC2076">
            <w:pPr>
              <w:pStyle w:val="NoSpacing"/>
              <w:jc w:val="both"/>
              <w:rPr>
                <w:rFonts w:ascii="Arial" w:hAnsi="Arial" w:cs="Arial"/>
                <w:color w:val="FFFFFF" w:themeColor="background1"/>
              </w:rPr>
            </w:pPr>
          </w:p>
          <w:p w14:paraId="6D3AA484" w14:textId="4181000D" w:rsidR="007E47BF" w:rsidRPr="00B57BEA" w:rsidRDefault="0059274B" w:rsidP="00FC2076">
            <w:pPr>
              <w:pStyle w:val="NoSpacing"/>
              <w:jc w:val="center"/>
              <w:rPr>
                <w:rFonts w:ascii="Arial" w:hAnsi="Arial" w:cs="Arial"/>
                <w:color w:val="FFFFFF" w:themeColor="background1"/>
              </w:rPr>
            </w:pPr>
            <w:r>
              <w:rPr>
                <w:rFonts w:ascii="Arial" w:hAnsi="Arial" w:cs="Arial"/>
                <w:color w:val="FFFFFF" w:themeColor="background1"/>
              </w:rPr>
              <w:t>Number (</w:t>
            </w:r>
            <w:r w:rsidR="007E47BF" w:rsidRPr="00B57BEA">
              <w:rPr>
                <w:rFonts w:ascii="Arial" w:hAnsi="Arial" w:cs="Arial"/>
                <w:color w:val="FFFFFF" w:themeColor="background1"/>
              </w:rPr>
              <w:t>%</w:t>
            </w:r>
            <w:r>
              <w:rPr>
                <w:rFonts w:ascii="Arial" w:hAnsi="Arial" w:cs="Arial"/>
                <w:color w:val="FFFFFF" w:themeColor="background1"/>
              </w:rPr>
              <w:t>)</w:t>
            </w:r>
          </w:p>
        </w:tc>
      </w:tr>
      <w:tr w:rsidR="007E47BF" w:rsidRPr="00B57BEA" w14:paraId="2216D34A"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3DFB1A01" w14:textId="28AA03DC" w:rsidR="007E47BF" w:rsidRPr="00375F97" w:rsidRDefault="007E47BF" w:rsidP="00FC2076">
            <w:pPr>
              <w:spacing w:after="0" w:line="240" w:lineRule="auto"/>
              <w:jc w:val="both"/>
              <w:rPr>
                <w:rFonts w:ascii="Arial" w:eastAsia="Times New Roman" w:hAnsi="Arial" w:cs="Arial"/>
                <w:color w:val="000000"/>
                <w:lang w:eastAsia="en-GB"/>
              </w:rPr>
            </w:pPr>
            <w:r w:rsidRPr="00375F97">
              <w:rPr>
                <w:rFonts w:ascii="Arial" w:eastAsia="Times New Roman" w:hAnsi="Arial" w:cs="Arial"/>
                <w:color w:val="000000"/>
                <w:lang w:eastAsia="en-GB"/>
              </w:rPr>
              <w:t>Group Life</w:t>
            </w:r>
            <w:r w:rsidR="0070791E">
              <w:rPr>
                <w:rFonts w:ascii="Arial" w:eastAsia="Times New Roman" w:hAnsi="Arial" w:cs="Arial"/>
                <w:color w:val="000000"/>
                <w:lang w:eastAsia="en-GB"/>
              </w:rPr>
              <w:t xml:space="preserve"> Assurance</w:t>
            </w:r>
          </w:p>
        </w:tc>
        <w:tc>
          <w:tcPr>
            <w:tcW w:w="2420" w:type="dxa"/>
            <w:tcBorders>
              <w:top w:val="nil"/>
              <w:left w:val="nil"/>
              <w:bottom w:val="single" w:sz="4" w:space="0" w:color="auto"/>
              <w:right w:val="single" w:sz="4" w:space="0" w:color="auto"/>
            </w:tcBorders>
            <w:noWrap/>
            <w:vAlign w:val="bottom"/>
          </w:tcPr>
          <w:p w14:paraId="6521787F" w14:textId="3172B2B2" w:rsidR="007E47BF" w:rsidRPr="00375F97" w:rsidRDefault="00AA2059"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Claim did n</w:t>
            </w:r>
            <w:r w:rsidR="007E47BF" w:rsidRPr="00375F97">
              <w:rPr>
                <w:rFonts w:ascii="Arial" w:eastAsia="Times New Roman" w:hAnsi="Arial" w:cs="Arial"/>
                <w:color w:val="000000"/>
                <w:lang w:eastAsia="en-GB"/>
              </w:rPr>
              <w:t>ot comply with policy terms</w:t>
            </w:r>
          </w:p>
        </w:tc>
        <w:tc>
          <w:tcPr>
            <w:tcW w:w="1518" w:type="dxa"/>
            <w:tcBorders>
              <w:top w:val="nil"/>
              <w:left w:val="nil"/>
              <w:bottom w:val="single" w:sz="4" w:space="0" w:color="auto"/>
              <w:right w:val="single" w:sz="4" w:space="0" w:color="auto"/>
            </w:tcBorders>
            <w:noWrap/>
            <w:vAlign w:val="bottom"/>
          </w:tcPr>
          <w:p w14:paraId="50187BB3" w14:textId="1BBDE04E" w:rsidR="007E47BF" w:rsidRPr="005D5974" w:rsidRDefault="00C66763"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w:t>
            </w:r>
            <w:r w:rsidR="00E75850" w:rsidRPr="005D5974">
              <w:rPr>
                <w:rFonts w:ascii="Arial" w:eastAsia="Times New Roman" w:hAnsi="Arial" w:cs="Arial"/>
                <w:color w:val="000000"/>
                <w:lang w:eastAsia="en-GB"/>
              </w:rPr>
              <w:t xml:space="preserve"> </w:t>
            </w:r>
            <w:r w:rsidR="00A3580E" w:rsidRPr="005D5974">
              <w:rPr>
                <w:rFonts w:ascii="Arial" w:eastAsia="Times New Roman" w:hAnsi="Arial" w:cs="Arial"/>
                <w:color w:val="000000"/>
                <w:lang w:eastAsia="en-GB"/>
              </w:rPr>
              <w:t>(</w:t>
            </w:r>
            <w:r w:rsidR="007E47BF" w:rsidRPr="005D5974">
              <w:rPr>
                <w:rFonts w:ascii="Arial" w:eastAsia="Times New Roman" w:hAnsi="Arial" w:cs="Arial"/>
                <w:color w:val="000000"/>
                <w:lang w:eastAsia="en-GB"/>
              </w:rPr>
              <w:t>39%</w:t>
            </w:r>
            <w:r w:rsidR="00A3580E" w:rsidRPr="005D5974">
              <w:rPr>
                <w:rFonts w:ascii="Arial" w:eastAsia="Times New Roman" w:hAnsi="Arial" w:cs="Arial"/>
                <w:color w:val="000000"/>
                <w:lang w:eastAsia="en-GB"/>
              </w:rPr>
              <w:t>)</w:t>
            </w:r>
          </w:p>
        </w:tc>
        <w:tc>
          <w:tcPr>
            <w:tcW w:w="2410" w:type="dxa"/>
            <w:tcBorders>
              <w:top w:val="nil"/>
              <w:left w:val="nil"/>
              <w:bottom w:val="single" w:sz="4" w:space="0" w:color="auto"/>
              <w:right w:val="single" w:sz="4" w:space="0" w:color="auto"/>
            </w:tcBorders>
            <w:noWrap/>
            <w:vAlign w:val="bottom"/>
          </w:tcPr>
          <w:p w14:paraId="564E5A84" w14:textId="5531223B" w:rsidR="007E47BF" w:rsidRPr="00375F97" w:rsidRDefault="00AA2059"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Claimant did n</w:t>
            </w:r>
            <w:r w:rsidR="00375F97" w:rsidRPr="00375F97">
              <w:rPr>
                <w:rFonts w:ascii="Arial" w:eastAsia="Times New Roman" w:hAnsi="Arial" w:cs="Arial"/>
                <w:color w:val="000000"/>
                <w:lang w:eastAsia="en-GB"/>
              </w:rPr>
              <w:t xml:space="preserve">ot </w:t>
            </w:r>
            <w:r w:rsidR="00AC49E5">
              <w:rPr>
                <w:rFonts w:ascii="Arial" w:eastAsia="Times New Roman" w:hAnsi="Arial" w:cs="Arial"/>
                <w:color w:val="000000"/>
                <w:lang w:eastAsia="en-GB"/>
              </w:rPr>
              <w:t xml:space="preserve">meet </w:t>
            </w:r>
            <w:r w:rsidR="00375F97" w:rsidRPr="00375F97">
              <w:rPr>
                <w:rFonts w:ascii="Arial" w:eastAsia="Times New Roman" w:hAnsi="Arial" w:cs="Arial"/>
                <w:color w:val="000000"/>
                <w:lang w:eastAsia="en-GB"/>
              </w:rPr>
              <w:t>actively at work</w:t>
            </w:r>
            <w:r w:rsidR="00A25DAA">
              <w:rPr>
                <w:rFonts w:ascii="Arial" w:eastAsia="Times New Roman" w:hAnsi="Arial" w:cs="Arial"/>
                <w:color w:val="000000"/>
                <w:lang w:eastAsia="en-GB"/>
              </w:rPr>
              <w:t xml:space="preserve"> conditions</w:t>
            </w:r>
          </w:p>
        </w:tc>
        <w:tc>
          <w:tcPr>
            <w:tcW w:w="1708" w:type="dxa"/>
            <w:tcBorders>
              <w:top w:val="nil"/>
              <w:left w:val="nil"/>
              <w:bottom w:val="single" w:sz="4" w:space="0" w:color="auto"/>
              <w:right w:val="single" w:sz="4" w:space="0" w:color="auto"/>
            </w:tcBorders>
          </w:tcPr>
          <w:p w14:paraId="16F367A7" w14:textId="77777777" w:rsidR="007E47BF" w:rsidRPr="00C66763" w:rsidRDefault="007E47BF" w:rsidP="00FC2076">
            <w:pPr>
              <w:spacing w:after="0" w:line="240" w:lineRule="auto"/>
              <w:jc w:val="center"/>
              <w:rPr>
                <w:rFonts w:ascii="Arial" w:eastAsia="Times New Roman" w:hAnsi="Arial" w:cs="Arial"/>
                <w:color w:val="000000"/>
                <w:lang w:eastAsia="en-GB"/>
              </w:rPr>
            </w:pPr>
          </w:p>
          <w:p w14:paraId="54AE6488" w14:textId="77777777" w:rsidR="006E37D2" w:rsidRDefault="006E37D2" w:rsidP="00FC2076">
            <w:pPr>
              <w:spacing w:after="0" w:line="240" w:lineRule="auto"/>
              <w:jc w:val="center"/>
              <w:rPr>
                <w:rFonts w:ascii="Arial" w:eastAsia="Times New Roman" w:hAnsi="Arial" w:cs="Arial"/>
                <w:color w:val="000000"/>
                <w:lang w:eastAsia="en-GB"/>
              </w:rPr>
            </w:pPr>
          </w:p>
          <w:p w14:paraId="12DC2226" w14:textId="24150004" w:rsidR="007E47BF" w:rsidRPr="00C66763" w:rsidRDefault="00C66763"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r w:rsidR="00E75850" w:rsidRPr="00C66763">
              <w:rPr>
                <w:rFonts w:ascii="Arial" w:eastAsia="Times New Roman" w:hAnsi="Arial" w:cs="Arial"/>
                <w:color w:val="000000"/>
                <w:lang w:eastAsia="en-GB"/>
              </w:rPr>
              <w:t xml:space="preserve"> (</w:t>
            </w:r>
            <w:r w:rsidR="007E47BF" w:rsidRPr="00C66763">
              <w:rPr>
                <w:rFonts w:ascii="Arial" w:eastAsia="Times New Roman" w:hAnsi="Arial" w:cs="Arial"/>
                <w:color w:val="000000"/>
                <w:lang w:eastAsia="en-GB"/>
              </w:rPr>
              <w:t>33%</w:t>
            </w:r>
            <w:r w:rsidR="00E75850" w:rsidRPr="00C66763">
              <w:rPr>
                <w:rFonts w:ascii="Arial" w:eastAsia="Times New Roman" w:hAnsi="Arial" w:cs="Arial"/>
                <w:color w:val="000000"/>
                <w:lang w:eastAsia="en-GB"/>
              </w:rPr>
              <w:t>)</w:t>
            </w:r>
          </w:p>
        </w:tc>
      </w:tr>
      <w:tr w:rsidR="007E47BF" w:rsidRPr="00B57BEA" w14:paraId="1A829F85"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60B47C4C" w14:textId="77777777" w:rsidR="007E47BF" w:rsidRPr="00375F97" w:rsidRDefault="007E47BF" w:rsidP="00FC2076">
            <w:pPr>
              <w:spacing w:after="0" w:line="240" w:lineRule="auto"/>
              <w:jc w:val="both"/>
              <w:rPr>
                <w:rFonts w:ascii="Arial" w:eastAsia="Times New Roman" w:hAnsi="Arial" w:cs="Arial"/>
                <w:color w:val="000000"/>
                <w:lang w:eastAsia="en-GB"/>
              </w:rPr>
            </w:pPr>
            <w:r w:rsidRPr="00375F97">
              <w:rPr>
                <w:rFonts w:ascii="Arial" w:eastAsia="Times New Roman" w:hAnsi="Arial" w:cs="Arial"/>
                <w:color w:val="000000"/>
                <w:lang w:eastAsia="en-GB"/>
              </w:rPr>
              <w:t>Group Income Protection</w:t>
            </w:r>
          </w:p>
        </w:tc>
        <w:tc>
          <w:tcPr>
            <w:tcW w:w="2420" w:type="dxa"/>
            <w:tcBorders>
              <w:top w:val="nil"/>
              <w:left w:val="nil"/>
              <w:bottom w:val="single" w:sz="4" w:space="0" w:color="auto"/>
              <w:right w:val="single" w:sz="4" w:space="0" w:color="auto"/>
            </w:tcBorders>
            <w:noWrap/>
            <w:vAlign w:val="bottom"/>
          </w:tcPr>
          <w:p w14:paraId="07115537" w14:textId="0D49B1CC" w:rsidR="007E47BF" w:rsidRPr="00375F97" w:rsidRDefault="007E47BF" w:rsidP="00FC2076">
            <w:pPr>
              <w:spacing w:after="0" w:line="240" w:lineRule="auto"/>
              <w:jc w:val="center"/>
              <w:rPr>
                <w:rFonts w:ascii="Arial" w:eastAsia="Times New Roman" w:hAnsi="Arial" w:cs="Arial"/>
                <w:color w:val="000000"/>
                <w:lang w:eastAsia="en-GB"/>
              </w:rPr>
            </w:pPr>
            <w:r w:rsidRPr="00375F97">
              <w:rPr>
                <w:rFonts w:ascii="Arial" w:eastAsia="Times New Roman" w:hAnsi="Arial" w:cs="Arial"/>
                <w:color w:val="000000"/>
                <w:lang w:eastAsia="en-GB"/>
              </w:rPr>
              <w:t>Not meeting definition</w:t>
            </w:r>
            <w:r w:rsidR="00770FF7">
              <w:rPr>
                <w:rFonts w:ascii="Arial" w:eastAsia="Times New Roman" w:hAnsi="Arial" w:cs="Arial"/>
                <w:color w:val="000000"/>
                <w:lang w:eastAsia="en-GB"/>
              </w:rPr>
              <w:t xml:space="preserve"> of disability</w:t>
            </w:r>
          </w:p>
        </w:tc>
        <w:tc>
          <w:tcPr>
            <w:tcW w:w="1518" w:type="dxa"/>
            <w:tcBorders>
              <w:top w:val="nil"/>
              <w:left w:val="nil"/>
              <w:bottom w:val="single" w:sz="4" w:space="0" w:color="auto"/>
              <w:right w:val="single" w:sz="4" w:space="0" w:color="auto"/>
            </w:tcBorders>
            <w:noWrap/>
            <w:vAlign w:val="bottom"/>
          </w:tcPr>
          <w:p w14:paraId="3EFEDE25" w14:textId="6DB64F4A" w:rsidR="007E47BF" w:rsidRPr="005D5974" w:rsidRDefault="00C66763"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565</w:t>
            </w:r>
            <w:r w:rsidR="00E75850" w:rsidRPr="005D5974">
              <w:rPr>
                <w:rFonts w:ascii="Arial" w:eastAsia="Times New Roman" w:hAnsi="Arial" w:cs="Arial"/>
                <w:color w:val="000000"/>
                <w:lang w:eastAsia="en-GB"/>
              </w:rPr>
              <w:t xml:space="preserve"> (</w:t>
            </w:r>
            <w:r w:rsidR="007E47BF" w:rsidRPr="005D5974">
              <w:rPr>
                <w:rFonts w:ascii="Arial" w:eastAsia="Times New Roman" w:hAnsi="Arial" w:cs="Arial"/>
                <w:color w:val="000000"/>
                <w:lang w:eastAsia="en-GB"/>
              </w:rPr>
              <w:t>98%</w:t>
            </w:r>
            <w:r w:rsidR="00E75850" w:rsidRPr="005D5974">
              <w:rPr>
                <w:rFonts w:ascii="Arial" w:eastAsia="Times New Roman" w:hAnsi="Arial" w:cs="Arial"/>
                <w:color w:val="000000"/>
                <w:lang w:eastAsia="en-GB"/>
              </w:rPr>
              <w:t>)</w:t>
            </w:r>
          </w:p>
        </w:tc>
        <w:tc>
          <w:tcPr>
            <w:tcW w:w="2410" w:type="dxa"/>
            <w:tcBorders>
              <w:top w:val="nil"/>
              <w:left w:val="nil"/>
              <w:bottom w:val="single" w:sz="4" w:space="0" w:color="auto"/>
              <w:right w:val="single" w:sz="4" w:space="0" w:color="auto"/>
            </w:tcBorders>
            <w:noWrap/>
            <w:vAlign w:val="bottom"/>
          </w:tcPr>
          <w:p w14:paraId="529D1000" w14:textId="77777777" w:rsidR="007E47BF" w:rsidRPr="00375F97" w:rsidRDefault="007E47BF" w:rsidP="00FC2076">
            <w:pPr>
              <w:spacing w:after="0" w:line="240" w:lineRule="auto"/>
              <w:jc w:val="center"/>
              <w:rPr>
                <w:rFonts w:ascii="Arial" w:eastAsia="Times New Roman" w:hAnsi="Arial" w:cs="Arial"/>
                <w:color w:val="000000"/>
                <w:lang w:eastAsia="en-GB"/>
              </w:rPr>
            </w:pPr>
            <w:r w:rsidRPr="00375F97">
              <w:rPr>
                <w:rFonts w:ascii="Arial" w:eastAsia="Times New Roman" w:hAnsi="Arial" w:cs="Arial"/>
                <w:color w:val="000000"/>
                <w:lang w:eastAsia="en-GB"/>
              </w:rPr>
              <w:t>No financial loss</w:t>
            </w:r>
          </w:p>
        </w:tc>
        <w:tc>
          <w:tcPr>
            <w:tcW w:w="1708" w:type="dxa"/>
            <w:tcBorders>
              <w:top w:val="nil"/>
              <w:left w:val="nil"/>
              <w:bottom w:val="single" w:sz="4" w:space="0" w:color="auto"/>
              <w:right w:val="single" w:sz="4" w:space="0" w:color="auto"/>
            </w:tcBorders>
          </w:tcPr>
          <w:p w14:paraId="4B8D0816" w14:textId="77777777" w:rsidR="00770FF7" w:rsidRDefault="00770FF7" w:rsidP="00FC2076">
            <w:pPr>
              <w:spacing w:after="0" w:line="240" w:lineRule="auto"/>
              <w:jc w:val="center"/>
              <w:rPr>
                <w:rFonts w:ascii="Arial" w:eastAsia="Times New Roman" w:hAnsi="Arial" w:cs="Arial"/>
                <w:color w:val="000000"/>
                <w:lang w:eastAsia="en-GB"/>
              </w:rPr>
            </w:pPr>
          </w:p>
          <w:p w14:paraId="6E7BB2AE" w14:textId="09EFB204" w:rsidR="007E47BF" w:rsidRPr="00C66763" w:rsidRDefault="00A231DA"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w:t>
            </w:r>
            <w:r w:rsidR="00E75850" w:rsidRPr="00C66763">
              <w:rPr>
                <w:rFonts w:ascii="Arial" w:eastAsia="Times New Roman" w:hAnsi="Arial" w:cs="Arial"/>
                <w:color w:val="000000"/>
                <w:lang w:eastAsia="en-GB"/>
              </w:rPr>
              <w:t xml:space="preserve"> (</w:t>
            </w:r>
            <w:r w:rsidR="007E47BF" w:rsidRPr="00C66763">
              <w:rPr>
                <w:rFonts w:ascii="Arial" w:eastAsia="Times New Roman" w:hAnsi="Arial" w:cs="Arial"/>
                <w:color w:val="000000"/>
                <w:lang w:eastAsia="en-GB"/>
              </w:rPr>
              <w:t>&lt;1%</w:t>
            </w:r>
            <w:r w:rsidR="00E75850" w:rsidRPr="00C66763">
              <w:rPr>
                <w:rFonts w:ascii="Arial" w:eastAsia="Times New Roman" w:hAnsi="Arial" w:cs="Arial"/>
                <w:color w:val="000000"/>
                <w:lang w:eastAsia="en-GB"/>
              </w:rPr>
              <w:t>)</w:t>
            </w:r>
          </w:p>
        </w:tc>
      </w:tr>
      <w:tr w:rsidR="007E47BF" w:rsidRPr="00B57BEA" w14:paraId="073829F9" w14:textId="77777777" w:rsidTr="00FC2076">
        <w:trPr>
          <w:trHeight w:val="260"/>
          <w:jc w:val="center"/>
        </w:trPr>
        <w:tc>
          <w:tcPr>
            <w:tcW w:w="2815" w:type="dxa"/>
            <w:tcBorders>
              <w:top w:val="nil"/>
              <w:left w:val="single" w:sz="4" w:space="0" w:color="auto"/>
              <w:bottom w:val="nil"/>
              <w:right w:val="single" w:sz="4" w:space="0" w:color="auto"/>
            </w:tcBorders>
            <w:noWrap/>
            <w:vAlign w:val="bottom"/>
          </w:tcPr>
          <w:p w14:paraId="202E70C8" w14:textId="3FBFBAE5" w:rsidR="007E47BF" w:rsidRPr="00375F97" w:rsidRDefault="007E47BF" w:rsidP="00FC2076">
            <w:pPr>
              <w:spacing w:after="0" w:line="240" w:lineRule="auto"/>
              <w:jc w:val="both"/>
              <w:rPr>
                <w:rFonts w:ascii="Arial" w:eastAsia="Times New Roman" w:hAnsi="Arial" w:cs="Arial"/>
                <w:color w:val="000000"/>
                <w:lang w:eastAsia="en-GB"/>
              </w:rPr>
            </w:pPr>
            <w:r w:rsidRPr="00375F97">
              <w:rPr>
                <w:rFonts w:ascii="Arial" w:eastAsia="Times New Roman" w:hAnsi="Arial" w:cs="Arial"/>
                <w:color w:val="000000"/>
                <w:lang w:eastAsia="en-GB"/>
              </w:rPr>
              <w:t>Group Critical Illness****</w:t>
            </w:r>
            <w:r w:rsidR="00DC64CF">
              <w:rPr>
                <w:rFonts w:ascii="Arial" w:eastAsia="Times New Roman" w:hAnsi="Arial" w:cs="Arial"/>
                <w:color w:val="000000"/>
                <w:lang w:eastAsia="en-GB"/>
              </w:rPr>
              <w:t>*</w:t>
            </w:r>
          </w:p>
        </w:tc>
        <w:tc>
          <w:tcPr>
            <w:tcW w:w="2420" w:type="dxa"/>
            <w:tcBorders>
              <w:top w:val="nil"/>
              <w:left w:val="nil"/>
              <w:bottom w:val="nil"/>
              <w:right w:val="single" w:sz="4" w:space="0" w:color="auto"/>
            </w:tcBorders>
            <w:noWrap/>
            <w:vAlign w:val="bottom"/>
          </w:tcPr>
          <w:p w14:paraId="30A97CBA" w14:textId="2DD02425" w:rsidR="007E47BF" w:rsidRPr="00375F97" w:rsidRDefault="007E47BF" w:rsidP="00FC2076">
            <w:pPr>
              <w:spacing w:after="0" w:line="240" w:lineRule="auto"/>
              <w:jc w:val="center"/>
              <w:rPr>
                <w:rFonts w:ascii="Arial" w:eastAsia="Times New Roman" w:hAnsi="Arial" w:cs="Arial"/>
                <w:color w:val="000000"/>
                <w:lang w:eastAsia="en-GB"/>
              </w:rPr>
            </w:pPr>
            <w:r w:rsidRPr="00375F97">
              <w:rPr>
                <w:rFonts w:ascii="Arial" w:eastAsia="Times New Roman" w:hAnsi="Arial" w:cs="Arial"/>
                <w:color w:val="000000"/>
                <w:lang w:eastAsia="en-GB"/>
              </w:rPr>
              <w:t>Not meeting definition</w:t>
            </w:r>
            <w:r w:rsidR="00770FF7">
              <w:rPr>
                <w:rFonts w:ascii="Arial" w:eastAsia="Times New Roman" w:hAnsi="Arial" w:cs="Arial"/>
                <w:color w:val="000000"/>
                <w:lang w:eastAsia="en-GB"/>
              </w:rPr>
              <w:t xml:space="preserve"> of critical illness</w:t>
            </w:r>
            <w:r w:rsidR="002056B1">
              <w:rPr>
                <w:rFonts w:ascii="Arial" w:eastAsia="Times New Roman" w:hAnsi="Arial" w:cs="Arial"/>
                <w:color w:val="000000"/>
                <w:lang w:eastAsia="en-GB"/>
              </w:rPr>
              <w:t xml:space="preserve"> being claimed for</w:t>
            </w:r>
          </w:p>
        </w:tc>
        <w:tc>
          <w:tcPr>
            <w:tcW w:w="1518" w:type="dxa"/>
            <w:tcBorders>
              <w:top w:val="nil"/>
              <w:left w:val="nil"/>
              <w:bottom w:val="nil"/>
              <w:right w:val="single" w:sz="4" w:space="0" w:color="auto"/>
            </w:tcBorders>
            <w:noWrap/>
            <w:vAlign w:val="bottom"/>
          </w:tcPr>
          <w:p w14:paraId="7122BDC4" w14:textId="7B7CE3AD" w:rsidR="007E47BF" w:rsidRPr="005D5974" w:rsidRDefault="00D976CF"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107</w:t>
            </w:r>
            <w:r w:rsidR="00E75850" w:rsidRPr="005D5974">
              <w:rPr>
                <w:rFonts w:ascii="Arial" w:eastAsia="Times New Roman" w:hAnsi="Arial" w:cs="Arial"/>
                <w:color w:val="000000"/>
                <w:lang w:eastAsia="en-GB"/>
              </w:rPr>
              <w:t xml:space="preserve"> (</w:t>
            </w:r>
            <w:r w:rsidR="007E47BF" w:rsidRPr="005D5974">
              <w:rPr>
                <w:rFonts w:ascii="Arial" w:eastAsia="Times New Roman" w:hAnsi="Arial" w:cs="Arial"/>
                <w:color w:val="000000"/>
                <w:lang w:eastAsia="en-GB"/>
              </w:rPr>
              <w:t>49%</w:t>
            </w:r>
            <w:r w:rsidR="00E75850" w:rsidRPr="005D5974">
              <w:rPr>
                <w:rFonts w:ascii="Arial" w:eastAsia="Times New Roman" w:hAnsi="Arial" w:cs="Arial"/>
                <w:color w:val="000000"/>
                <w:lang w:eastAsia="en-GB"/>
              </w:rPr>
              <w:t>)</w:t>
            </w:r>
          </w:p>
        </w:tc>
        <w:tc>
          <w:tcPr>
            <w:tcW w:w="2410" w:type="dxa"/>
            <w:tcBorders>
              <w:top w:val="nil"/>
              <w:left w:val="nil"/>
              <w:bottom w:val="nil"/>
              <w:right w:val="single" w:sz="4" w:space="0" w:color="auto"/>
            </w:tcBorders>
            <w:noWrap/>
            <w:vAlign w:val="bottom"/>
          </w:tcPr>
          <w:p w14:paraId="5CD6EC02" w14:textId="507003D9" w:rsidR="007E47BF" w:rsidRPr="00375F97" w:rsidRDefault="00BD2338"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Claim was for a p</w:t>
            </w:r>
            <w:r w:rsidR="005D3BD3">
              <w:rPr>
                <w:rFonts w:ascii="Arial" w:eastAsia="Times New Roman" w:hAnsi="Arial" w:cs="Arial"/>
                <w:color w:val="000000"/>
                <w:lang w:eastAsia="en-GB"/>
              </w:rPr>
              <w:t>re-existing or related condition</w:t>
            </w:r>
            <w:r>
              <w:rPr>
                <w:rFonts w:ascii="Arial" w:eastAsia="Times New Roman" w:hAnsi="Arial" w:cs="Arial"/>
                <w:color w:val="000000"/>
                <w:lang w:eastAsia="en-GB"/>
              </w:rPr>
              <w:t xml:space="preserve"> excluded under the policy</w:t>
            </w:r>
          </w:p>
        </w:tc>
        <w:tc>
          <w:tcPr>
            <w:tcW w:w="1708" w:type="dxa"/>
            <w:tcBorders>
              <w:top w:val="nil"/>
              <w:left w:val="nil"/>
              <w:bottom w:val="nil"/>
              <w:right w:val="single" w:sz="4" w:space="0" w:color="auto"/>
            </w:tcBorders>
          </w:tcPr>
          <w:p w14:paraId="4F09AA48" w14:textId="77777777" w:rsidR="00BD2338" w:rsidRDefault="00BD2338" w:rsidP="00FC2076">
            <w:pPr>
              <w:spacing w:after="0" w:line="240" w:lineRule="auto"/>
              <w:jc w:val="center"/>
              <w:rPr>
                <w:rFonts w:ascii="Arial" w:eastAsia="Times New Roman" w:hAnsi="Arial" w:cs="Arial"/>
                <w:color w:val="000000"/>
                <w:lang w:eastAsia="en-GB"/>
              </w:rPr>
            </w:pPr>
          </w:p>
          <w:p w14:paraId="7FBCCF25" w14:textId="77777777" w:rsidR="00BD2338" w:rsidRDefault="00BD2338" w:rsidP="00FC2076">
            <w:pPr>
              <w:spacing w:after="0" w:line="240" w:lineRule="auto"/>
              <w:jc w:val="center"/>
              <w:rPr>
                <w:rFonts w:ascii="Arial" w:eastAsia="Times New Roman" w:hAnsi="Arial" w:cs="Arial"/>
                <w:color w:val="000000"/>
                <w:lang w:eastAsia="en-GB"/>
              </w:rPr>
            </w:pPr>
          </w:p>
          <w:p w14:paraId="526793C2" w14:textId="77777777" w:rsidR="00BD2338" w:rsidRDefault="00BD2338" w:rsidP="00FC2076">
            <w:pPr>
              <w:spacing w:after="0" w:line="240" w:lineRule="auto"/>
              <w:jc w:val="center"/>
              <w:rPr>
                <w:rFonts w:ascii="Arial" w:eastAsia="Times New Roman" w:hAnsi="Arial" w:cs="Arial"/>
                <w:color w:val="000000"/>
                <w:lang w:eastAsia="en-GB"/>
              </w:rPr>
            </w:pPr>
          </w:p>
          <w:p w14:paraId="3C28E078" w14:textId="0963BD73" w:rsidR="007E47BF" w:rsidRPr="00C66763" w:rsidRDefault="00D976CF"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106</w:t>
            </w:r>
            <w:r w:rsidR="00E75850" w:rsidRPr="00C66763">
              <w:rPr>
                <w:rFonts w:ascii="Arial" w:eastAsia="Times New Roman" w:hAnsi="Arial" w:cs="Arial"/>
                <w:color w:val="000000"/>
                <w:lang w:eastAsia="en-GB"/>
              </w:rPr>
              <w:t xml:space="preserve"> (</w:t>
            </w:r>
            <w:r w:rsidR="007E47BF" w:rsidRPr="00C66763">
              <w:rPr>
                <w:rFonts w:ascii="Arial" w:eastAsia="Times New Roman" w:hAnsi="Arial" w:cs="Arial"/>
                <w:color w:val="000000"/>
                <w:lang w:eastAsia="en-GB"/>
              </w:rPr>
              <w:t>48%</w:t>
            </w:r>
            <w:r w:rsidR="00E75850" w:rsidRPr="00C66763">
              <w:rPr>
                <w:rFonts w:ascii="Arial" w:eastAsia="Times New Roman" w:hAnsi="Arial" w:cs="Arial"/>
                <w:color w:val="000000"/>
                <w:lang w:eastAsia="en-GB"/>
              </w:rPr>
              <w:t>)</w:t>
            </w:r>
          </w:p>
        </w:tc>
      </w:tr>
      <w:tr w:rsidR="007E47BF" w:rsidRPr="00B57BEA" w14:paraId="32FE9888"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10AEE8C9" w14:textId="77777777" w:rsidR="007E47BF" w:rsidRPr="00B57BEA" w:rsidRDefault="007E47BF" w:rsidP="00FC2076">
            <w:pPr>
              <w:spacing w:after="0" w:line="240" w:lineRule="auto"/>
              <w:jc w:val="both"/>
              <w:rPr>
                <w:rFonts w:ascii="Arial" w:eastAsia="Times New Roman" w:hAnsi="Arial" w:cs="Arial"/>
                <w:b/>
                <w:color w:val="FFFFFF"/>
                <w:lang w:eastAsia="en-GB"/>
              </w:rPr>
            </w:pPr>
          </w:p>
        </w:tc>
        <w:tc>
          <w:tcPr>
            <w:tcW w:w="2420" w:type="dxa"/>
            <w:tcBorders>
              <w:top w:val="single" w:sz="8" w:space="0" w:color="auto"/>
              <w:left w:val="nil"/>
              <w:bottom w:val="single" w:sz="8" w:space="0" w:color="auto"/>
              <w:right w:val="single" w:sz="8" w:space="0" w:color="auto"/>
            </w:tcBorders>
            <w:shd w:val="clear" w:color="auto" w:fill="7030A0"/>
            <w:noWrap/>
            <w:vAlign w:val="bottom"/>
          </w:tcPr>
          <w:p w14:paraId="21252AC2" w14:textId="77777777" w:rsidR="007E47BF" w:rsidRPr="00B57BEA" w:rsidRDefault="007E47BF" w:rsidP="00FC2076">
            <w:pPr>
              <w:spacing w:after="0" w:line="240" w:lineRule="auto"/>
              <w:jc w:val="right"/>
              <w:rPr>
                <w:rFonts w:ascii="Arial" w:eastAsia="Times New Roman" w:hAnsi="Arial" w:cs="Arial"/>
                <w:b/>
                <w:color w:val="FFFFFF"/>
                <w:lang w:eastAsia="en-GB"/>
              </w:rPr>
            </w:pPr>
          </w:p>
        </w:tc>
        <w:tc>
          <w:tcPr>
            <w:tcW w:w="1518" w:type="dxa"/>
            <w:tcBorders>
              <w:top w:val="single" w:sz="8" w:space="0" w:color="auto"/>
              <w:left w:val="nil"/>
              <w:bottom w:val="single" w:sz="8" w:space="0" w:color="auto"/>
              <w:right w:val="single" w:sz="8" w:space="0" w:color="auto"/>
            </w:tcBorders>
            <w:shd w:val="clear" w:color="auto" w:fill="7030A0"/>
            <w:noWrap/>
            <w:vAlign w:val="bottom"/>
          </w:tcPr>
          <w:p w14:paraId="29E60FBF" w14:textId="77777777" w:rsidR="007E47BF" w:rsidRPr="00B57BEA" w:rsidRDefault="007E47BF" w:rsidP="00FC2076">
            <w:pPr>
              <w:spacing w:after="0" w:line="240" w:lineRule="auto"/>
              <w:jc w:val="center"/>
              <w:rPr>
                <w:rFonts w:ascii="Arial" w:eastAsia="Times New Roman" w:hAnsi="Arial" w:cs="Arial"/>
                <w:b/>
                <w:color w:val="FFFFFF"/>
                <w:lang w:eastAsia="en-GB"/>
              </w:rPr>
            </w:pPr>
          </w:p>
        </w:tc>
        <w:tc>
          <w:tcPr>
            <w:tcW w:w="2410" w:type="dxa"/>
            <w:tcBorders>
              <w:top w:val="single" w:sz="8" w:space="0" w:color="auto"/>
              <w:left w:val="nil"/>
              <w:bottom w:val="single" w:sz="8" w:space="0" w:color="auto"/>
              <w:right w:val="single" w:sz="8" w:space="0" w:color="auto"/>
            </w:tcBorders>
            <w:shd w:val="clear" w:color="auto" w:fill="7030A0"/>
            <w:noWrap/>
            <w:vAlign w:val="bottom"/>
          </w:tcPr>
          <w:p w14:paraId="79F6DFDC" w14:textId="77777777" w:rsidR="007E47BF" w:rsidRPr="00B57BEA" w:rsidRDefault="007E47BF" w:rsidP="00FC2076">
            <w:pPr>
              <w:spacing w:after="0" w:line="240" w:lineRule="auto"/>
              <w:jc w:val="both"/>
              <w:rPr>
                <w:rFonts w:ascii="Arial" w:eastAsia="Times New Roman" w:hAnsi="Arial" w:cs="Arial"/>
                <w:b/>
                <w:color w:val="FFFFFF"/>
                <w:lang w:eastAsia="en-GB"/>
              </w:rPr>
            </w:pPr>
          </w:p>
        </w:tc>
        <w:tc>
          <w:tcPr>
            <w:tcW w:w="1708" w:type="dxa"/>
            <w:tcBorders>
              <w:top w:val="single" w:sz="8" w:space="0" w:color="auto"/>
              <w:left w:val="nil"/>
              <w:bottom w:val="single" w:sz="8" w:space="0" w:color="auto"/>
              <w:right w:val="single" w:sz="8" w:space="0" w:color="auto"/>
            </w:tcBorders>
            <w:shd w:val="clear" w:color="auto" w:fill="7030A0"/>
          </w:tcPr>
          <w:p w14:paraId="0EF6F416" w14:textId="77777777" w:rsidR="007E47BF" w:rsidRPr="00B57BEA" w:rsidRDefault="007E47BF" w:rsidP="00FC2076">
            <w:pPr>
              <w:spacing w:after="0" w:line="240" w:lineRule="auto"/>
              <w:jc w:val="both"/>
              <w:rPr>
                <w:rFonts w:ascii="Arial" w:eastAsia="Times New Roman" w:hAnsi="Arial" w:cs="Arial"/>
                <w:color w:val="FFFFFF"/>
                <w:lang w:eastAsia="en-GB"/>
              </w:rPr>
            </w:pPr>
          </w:p>
        </w:tc>
      </w:tr>
    </w:tbl>
    <w:p w14:paraId="0D608236" w14:textId="6AF1D720" w:rsidR="007E47BF" w:rsidRPr="00B57BEA" w:rsidRDefault="007E47BF" w:rsidP="007E47BF">
      <w:pPr>
        <w:pStyle w:val="NoSpacing"/>
        <w:rPr>
          <w:rFonts w:ascii="Arial" w:hAnsi="Arial" w:cs="Arial"/>
        </w:rPr>
      </w:pPr>
    </w:p>
    <w:p w14:paraId="391DAD0E" w14:textId="6FEB2AD3" w:rsidR="00AA2059" w:rsidRPr="002C134B" w:rsidRDefault="00AA2059" w:rsidP="002C134B">
      <w:pPr>
        <w:pStyle w:val="NoSpacing"/>
        <w:jc w:val="both"/>
        <w:rPr>
          <w:rFonts w:ascii="Arial" w:hAnsi="Arial" w:cs="Arial"/>
          <w:sz w:val="18"/>
          <w:szCs w:val="18"/>
        </w:rPr>
      </w:pPr>
      <w:r w:rsidRPr="002C134B">
        <w:rPr>
          <w:rFonts w:ascii="Arial" w:hAnsi="Arial" w:cs="Arial"/>
          <w:sz w:val="18"/>
          <w:szCs w:val="18"/>
        </w:rPr>
        <w:t>****Please see attached FAQs document for further explanation</w:t>
      </w:r>
    </w:p>
    <w:p w14:paraId="588622B5" w14:textId="77777777" w:rsidR="00AA2059" w:rsidRPr="002C134B" w:rsidRDefault="00AA2059" w:rsidP="002C134B">
      <w:pPr>
        <w:pStyle w:val="NoSpacing"/>
        <w:jc w:val="both"/>
        <w:rPr>
          <w:rFonts w:ascii="Arial" w:hAnsi="Arial" w:cs="Arial"/>
          <w:sz w:val="18"/>
          <w:szCs w:val="18"/>
        </w:rPr>
      </w:pPr>
    </w:p>
    <w:p w14:paraId="05F0DF1C" w14:textId="28C2E98A" w:rsidR="00313603" w:rsidRPr="002C134B" w:rsidRDefault="007E47BF" w:rsidP="002C134B">
      <w:pPr>
        <w:pStyle w:val="NoSpacing"/>
        <w:jc w:val="both"/>
        <w:rPr>
          <w:rFonts w:ascii="Arial" w:hAnsi="Arial" w:cs="Arial"/>
          <w:sz w:val="18"/>
          <w:szCs w:val="18"/>
        </w:rPr>
      </w:pPr>
      <w:r w:rsidRPr="002C134B">
        <w:rPr>
          <w:rFonts w:ascii="Arial" w:hAnsi="Arial" w:cs="Arial"/>
          <w:sz w:val="18"/>
          <w:szCs w:val="18"/>
        </w:rPr>
        <w:t>****</w:t>
      </w:r>
      <w:r w:rsidR="00AA2059" w:rsidRPr="002C134B">
        <w:rPr>
          <w:rFonts w:ascii="Arial" w:hAnsi="Arial" w:cs="Arial"/>
          <w:sz w:val="18"/>
          <w:szCs w:val="18"/>
        </w:rPr>
        <w:t>*</w:t>
      </w:r>
      <w:r w:rsidRPr="002C134B">
        <w:rPr>
          <w:rFonts w:ascii="Arial" w:hAnsi="Arial" w:cs="Arial"/>
          <w:sz w:val="18"/>
          <w:szCs w:val="18"/>
        </w:rPr>
        <w:t>There were also 34 notifications where a member requested payment for an illness or condition that was not insured under the policy.</w:t>
      </w:r>
    </w:p>
    <w:p w14:paraId="340B3E33" w14:textId="77777777" w:rsidR="007E47BF" w:rsidRPr="002C134B" w:rsidRDefault="007E47BF" w:rsidP="002C134B">
      <w:pPr>
        <w:pStyle w:val="NoSpacing"/>
        <w:jc w:val="both"/>
        <w:rPr>
          <w:rFonts w:ascii="Arial" w:hAnsi="Arial" w:cs="Arial"/>
          <w:sz w:val="18"/>
          <w:szCs w:val="18"/>
        </w:rPr>
      </w:pPr>
    </w:p>
    <w:p w14:paraId="2094EC17" w14:textId="619E01DA" w:rsidR="0011032E" w:rsidRDefault="003E14D0" w:rsidP="00D1117B">
      <w:pPr>
        <w:pStyle w:val="NoSpacing"/>
        <w:rPr>
          <w:rFonts w:ascii="Arial" w:hAnsi="Arial" w:cs="Arial"/>
        </w:rPr>
      </w:pPr>
      <w:r w:rsidRPr="00B57BEA">
        <w:rPr>
          <w:rFonts w:ascii="Arial" w:hAnsi="Arial" w:cs="Arial"/>
          <w:b/>
        </w:rPr>
        <w:t>Katharine Moxham, spokesperson for GRiD, commented:</w:t>
      </w:r>
      <w:r w:rsidRPr="00B57BEA">
        <w:rPr>
          <w:rFonts w:ascii="Arial" w:hAnsi="Arial" w:cs="Arial"/>
        </w:rPr>
        <w:t xml:space="preserve"> “</w:t>
      </w:r>
      <w:r w:rsidR="00A35655">
        <w:rPr>
          <w:rFonts w:ascii="Arial" w:hAnsi="Arial" w:cs="Arial"/>
        </w:rPr>
        <w:t xml:space="preserve">Once again, it’s great to be able to </w:t>
      </w:r>
      <w:r w:rsidR="0015555A">
        <w:rPr>
          <w:rFonts w:ascii="Arial" w:hAnsi="Arial" w:cs="Arial"/>
        </w:rPr>
        <w:t xml:space="preserve">show how </w:t>
      </w:r>
      <w:r w:rsidR="00A35655">
        <w:rPr>
          <w:rFonts w:ascii="Arial" w:hAnsi="Arial" w:cs="Arial"/>
        </w:rPr>
        <w:t xml:space="preserve">employer-sponsored group risk protection benefits support people through some really difficult times through a financial pay-out </w:t>
      </w:r>
      <w:r w:rsidR="00D177BA">
        <w:rPr>
          <w:rFonts w:ascii="Arial" w:hAnsi="Arial" w:cs="Arial"/>
        </w:rPr>
        <w:t xml:space="preserve">as well as </w:t>
      </w:r>
      <w:r w:rsidR="00A35655">
        <w:rPr>
          <w:rFonts w:ascii="Arial" w:hAnsi="Arial" w:cs="Arial"/>
        </w:rPr>
        <w:t xml:space="preserve">in other ways. </w:t>
      </w:r>
    </w:p>
    <w:p w14:paraId="6B7725B4" w14:textId="77777777" w:rsidR="0011032E" w:rsidRDefault="0011032E" w:rsidP="00D1117B">
      <w:pPr>
        <w:pStyle w:val="NoSpacing"/>
        <w:rPr>
          <w:rFonts w:ascii="Arial" w:hAnsi="Arial" w:cs="Arial"/>
        </w:rPr>
      </w:pPr>
    </w:p>
    <w:p w14:paraId="572502B0" w14:textId="37CAE4EF" w:rsidR="0011032E" w:rsidRDefault="0011032E" w:rsidP="0011032E">
      <w:pPr>
        <w:pStyle w:val="NoSpacing"/>
        <w:rPr>
          <w:rFonts w:ascii="Arial" w:hAnsi="Arial" w:cs="Arial"/>
        </w:rPr>
      </w:pPr>
      <w:r w:rsidRPr="0011032E">
        <w:rPr>
          <w:rFonts w:ascii="Arial" w:hAnsi="Arial" w:cs="Arial"/>
        </w:rPr>
        <w:t>“GRiD’s latest employer researc</w:t>
      </w:r>
      <w:r>
        <w:rPr>
          <w:rFonts w:ascii="Arial" w:hAnsi="Arial" w:cs="Arial"/>
        </w:rPr>
        <w:t xml:space="preserve">h </w:t>
      </w:r>
      <w:r w:rsidR="0070791E">
        <w:rPr>
          <w:rFonts w:ascii="Arial" w:hAnsi="Arial" w:cs="Arial"/>
        </w:rPr>
        <w:t>cites the</w:t>
      </w:r>
      <w:r w:rsidR="0070791E" w:rsidRPr="0011032E">
        <w:rPr>
          <w:rFonts w:ascii="Arial" w:hAnsi="Arial" w:cs="Arial"/>
        </w:rPr>
        <w:t xml:space="preserve"> </w:t>
      </w:r>
      <w:r w:rsidRPr="0011032E">
        <w:rPr>
          <w:rFonts w:ascii="Arial" w:hAnsi="Arial" w:cs="Arial"/>
        </w:rPr>
        <w:t xml:space="preserve">key reasons </w:t>
      </w:r>
      <w:r>
        <w:rPr>
          <w:rFonts w:ascii="Arial" w:hAnsi="Arial" w:cs="Arial"/>
        </w:rPr>
        <w:t>why employers</w:t>
      </w:r>
      <w:r w:rsidRPr="0011032E">
        <w:rPr>
          <w:rFonts w:ascii="Arial" w:hAnsi="Arial" w:cs="Arial"/>
        </w:rPr>
        <w:t xml:space="preserve"> provid</w:t>
      </w:r>
      <w:r>
        <w:rPr>
          <w:rFonts w:ascii="Arial" w:hAnsi="Arial" w:cs="Arial"/>
        </w:rPr>
        <w:t>e</w:t>
      </w:r>
      <w:r w:rsidRPr="0011032E">
        <w:rPr>
          <w:rFonts w:ascii="Arial" w:hAnsi="Arial" w:cs="Arial"/>
        </w:rPr>
        <w:t xml:space="preserve"> group risk benefits. These </w:t>
      </w:r>
      <w:r w:rsidR="00D177BA">
        <w:rPr>
          <w:rFonts w:ascii="Arial" w:hAnsi="Arial" w:cs="Arial"/>
        </w:rPr>
        <w:t xml:space="preserve">include </w:t>
      </w:r>
      <w:r w:rsidRPr="0011032E">
        <w:rPr>
          <w:rFonts w:ascii="Arial" w:hAnsi="Arial" w:cs="Arial"/>
        </w:rPr>
        <w:t xml:space="preserve">helping with recruitment and retention/differentiating their </w:t>
      </w:r>
      <w:r w:rsidR="0070791E">
        <w:rPr>
          <w:rFonts w:ascii="Arial" w:hAnsi="Arial" w:cs="Arial"/>
        </w:rPr>
        <w:t>company</w:t>
      </w:r>
      <w:r w:rsidRPr="0011032E">
        <w:rPr>
          <w:rFonts w:ascii="Arial" w:hAnsi="Arial" w:cs="Arial"/>
        </w:rPr>
        <w:t xml:space="preserve">, being able to recoup the costs in improved productivity and team morale, </w:t>
      </w:r>
      <w:r w:rsidR="00D177BA">
        <w:rPr>
          <w:rFonts w:ascii="Arial" w:hAnsi="Arial" w:cs="Arial"/>
        </w:rPr>
        <w:t>and</w:t>
      </w:r>
      <w:r w:rsidRPr="0011032E">
        <w:rPr>
          <w:rFonts w:ascii="Arial" w:hAnsi="Arial" w:cs="Arial"/>
        </w:rPr>
        <w:t xml:space="preserve"> paternalism.</w:t>
      </w:r>
    </w:p>
    <w:p w14:paraId="1C01748C" w14:textId="7EE0EEA8" w:rsidR="00426437" w:rsidRDefault="00426437" w:rsidP="0011032E">
      <w:pPr>
        <w:pStyle w:val="NoSpacing"/>
        <w:rPr>
          <w:rFonts w:ascii="Arial" w:hAnsi="Arial" w:cs="Arial"/>
        </w:rPr>
      </w:pPr>
    </w:p>
    <w:p w14:paraId="5342C02E" w14:textId="2E1ED276" w:rsidR="00426437" w:rsidRPr="00426437" w:rsidRDefault="00426437" w:rsidP="00426437">
      <w:pPr>
        <w:pStyle w:val="NoSpacing"/>
        <w:rPr>
          <w:rFonts w:ascii="Arial" w:hAnsi="Arial" w:cs="Arial"/>
        </w:rPr>
      </w:pPr>
      <w:r w:rsidRPr="00426437">
        <w:rPr>
          <w:rFonts w:ascii="Arial" w:hAnsi="Arial" w:cs="Arial"/>
        </w:rPr>
        <w:t xml:space="preserve">“Enlightened employers see exactly how group risk benefits and their inherent </w:t>
      </w:r>
      <w:r w:rsidR="00BB2D3B">
        <w:rPr>
          <w:rFonts w:ascii="Arial" w:hAnsi="Arial" w:cs="Arial"/>
        </w:rPr>
        <w:t>additional services</w:t>
      </w:r>
      <w:r w:rsidRPr="00426437">
        <w:rPr>
          <w:rFonts w:ascii="Arial" w:hAnsi="Arial" w:cs="Arial"/>
        </w:rPr>
        <w:t xml:space="preserve"> help with engagement and productivity, </w:t>
      </w:r>
      <w:r w:rsidR="0070791E">
        <w:rPr>
          <w:rFonts w:ascii="Arial" w:hAnsi="Arial" w:cs="Arial"/>
        </w:rPr>
        <w:t xml:space="preserve">support </w:t>
      </w:r>
      <w:r w:rsidR="0070791E" w:rsidRPr="00426437">
        <w:rPr>
          <w:rFonts w:ascii="Arial" w:hAnsi="Arial" w:cs="Arial"/>
        </w:rPr>
        <w:t xml:space="preserve">employee wellbeing </w:t>
      </w:r>
      <w:r w:rsidRPr="00426437">
        <w:rPr>
          <w:rFonts w:ascii="Arial" w:hAnsi="Arial" w:cs="Arial"/>
        </w:rPr>
        <w:t xml:space="preserve">and enable a business to </w:t>
      </w:r>
      <w:r w:rsidR="0070791E">
        <w:rPr>
          <w:rFonts w:ascii="Arial" w:hAnsi="Arial" w:cs="Arial"/>
        </w:rPr>
        <w:t>fulfil</w:t>
      </w:r>
      <w:r w:rsidRPr="00426437">
        <w:rPr>
          <w:rFonts w:ascii="Arial" w:hAnsi="Arial" w:cs="Arial"/>
        </w:rPr>
        <w:t xml:space="preserve"> </w:t>
      </w:r>
      <w:r w:rsidR="00BA1863">
        <w:rPr>
          <w:rFonts w:ascii="Arial" w:hAnsi="Arial" w:cs="Arial"/>
        </w:rPr>
        <w:t xml:space="preserve">its </w:t>
      </w:r>
      <w:r w:rsidR="0070791E" w:rsidRPr="00426437">
        <w:rPr>
          <w:rFonts w:ascii="Arial" w:hAnsi="Arial" w:cs="Arial"/>
        </w:rPr>
        <w:t>duty of care</w:t>
      </w:r>
      <w:r w:rsidRPr="00426437">
        <w:rPr>
          <w:rFonts w:ascii="Arial" w:hAnsi="Arial" w:cs="Arial"/>
        </w:rPr>
        <w:t>. They also ensure fair and consistent treatment of people</w:t>
      </w:r>
      <w:r w:rsidR="0070791E">
        <w:rPr>
          <w:rFonts w:ascii="Arial" w:hAnsi="Arial" w:cs="Arial"/>
        </w:rPr>
        <w:t>,</w:t>
      </w:r>
      <w:r w:rsidRPr="00426437">
        <w:rPr>
          <w:rFonts w:ascii="Arial" w:hAnsi="Arial" w:cs="Arial"/>
        </w:rPr>
        <w:t xml:space="preserve"> </w:t>
      </w:r>
      <w:r w:rsidR="007259FA">
        <w:rPr>
          <w:rFonts w:ascii="Arial" w:hAnsi="Arial" w:cs="Arial"/>
        </w:rPr>
        <w:lastRenderedPageBreak/>
        <w:t>and can put businesses</w:t>
      </w:r>
      <w:r w:rsidR="007259FA" w:rsidRPr="007259FA">
        <w:rPr>
          <w:rFonts w:ascii="Arial" w:hAnsi="Arial" w:cs="Arial"/>
        </w:rPr>
        <w:t xml:space="preserve"> in </w:t>
      </w:r>
      <w:r w:rsidR="00D177BA">
        <w:rPr>
          <w:rFonts w:ascii="Arial" w:hAnsi="Arial" w:cs="Arial"/>
        </w:rPr>
        <w:t xml:space="preserve">a </w:t>
      </w:r>
      <w:r w:rsidR="007259FA" w:rsidRPr="007259FA">
        <w:rPr>
          <w:rFonts w:ascii="Arial" w:hAnsi="Arial" w:cs="Arial"/>
        </w:rPr>
        <w:t xml:space="preserve">prime position to comply with their role in the Government’s </w:t>
      </w:r>
      <w:r w:rsidR="0015555A">
        <w:rPr>
          <w:rFonts w:ascii="Arial" w:hAnsi="Arial" w:cs="Arial"/>
        </w:rPr>
        <w:t>ambitions</w:t>
      </w:r>
      <w:r w:rsidR="007259FA" w:rsidRPr="007259FA">
        <w:rPr>
          <w:rFonts w:ascii="Arial" w:hAnsi="Arial" w:cs="Arial"/>
        </w:rPr>
        <w:t xml:space="preserve"> for </w:t>
      </w:r>
      <w:r w:rsidR="0015555A" w:rsidRPr="007259FA">
        <w:rPr>
          <w:rFonts w:ascii="Arial" w:hAnsi="Arial" w:cs="Arial"/>
        </w:rPr>
        <w:t>health</w:t>
      </w:r>
      <w:r w:rsidR="0015555A">
        <w:rPr>
          <w:rFonts w:ascii="Arial" w:hAnsi="Arial" w:cs="Arial"/>
        </w:rPr>
        <w:t>ier</w:t>
      </w:r>
      <w:r w:rsidR="007259FA" w:rsidRPr="007259FA">
        <w:rPr>
          <w:rFonts w:ascii="Arial" w:hAnsi="Arial" w:cs="Arial"/>
        </w:rPr>
        <w:t xml:space="preserve"> and</w:t>
      </w:r>
      <w:r w:rsidR="0015555A">
        <w:rPr>
          <w:rFonts w:ascii="Arial" w:hAnsi="Arial" w:cs="Arial"/>
        </w:rPr>
        <w:t xml:space="preserve"> more</w:t>
      </w:r>
      <w:r w:rsidR="007259FA" w:rsidRPr="007259FA">
        <w:rPr>
          <w:rFonts w:ascii="Arial" w:hAnsi="Arial" w:cs="Arial"/>
        </w:rPr>
        <w:t xml:space="preserve"> inclusive workforce</w:t>
      </w:r>
      <w:r w:rsidR="0015555A">
        <w:rPr>
          <w:rFonts w:ascii="Arial" w:hAnsi="Arial" w:cs="Arial"/>
        </w:rPr>
        <w:t>s</w:t>
      </w:r>
      <w:r w:rsidRPr="00426437">
        <w:rPr>
          <w:rFonts w:ascii="Arial" w:hAnsi="Arial" w:cs="Arial"/>
        </w:rPr>
        <w:t>.</w:t>
      </w:r>
    </w:p>
    <w:p w14:paraId="16308E08" w14:textId="69A0A765" w:rsidR="00426437" w:rsidRPr="0011032E" w:rsidRDefault="00426437" w:rsidP="0011032E">
      <w:pPr>
        <w:pStyle w:val="NoSpacing"/>
        <w:rPr>
          <w:rFonts w:ascii="Arial" w:hAnsi="Arial" w:cs="Arial"/>
        </w:rPr>
      </w:pPr>
    </w:p>
    <w:p w14:paraId="627B794A" w14:textId="29E8D9F2" w:rsidR="000711F7" w:rsidRPr="00B57BEA" w:rsidRDefault="000711F7" w:rsidP="000711F7">
      <w:pPr>
        <w:pStyle w:val="NoSpacing"/>
        <w:rPr>
          <w:rFonts w:ascii="Arial" w:hAnsi="Arial" w:cs="Arial"/>
        </w:rPr>
      </w:pPr>
      <w:r w:rsidRPr="000711F7">
        <w:rPr>
          <w:rFonts w:ascii="Arial" w:hAnsi="Arial" w:cs="Arial"/>
        </w:rPr>
        <w:t>“</w:t>
      </w:r>
      <w:r w:rsidR="002C3E95">
        <w:rPr>
          <w:rFonts w:ascii="Arial" w:hAnsi="Arial" w:cs="Arial"/>
        </w:rPr>
        <w:t>O</w:t>
      </w:r>
      <w:r w:rsidRPr="000711F7">
        <w:rPr>
          <w:rFonts w:ascii="Arial" w:hAnsi="Arial" w:cs="Arial"/>
        </w:rPr>
        <w:t xml:space="preserve">ne size </w:t>
      </w:r>
      <w:r w:rsidR="002C3E95">
        <w:rPr>
          <w:rFonts w:ascii="Arial" w:hAnsi="Arial" w:cs="Arial"/>
        </w:rPr>
        <w:t>doesn’t fit</w:t>
      </w:r>
      <w:r w:rsidRPr="000711F7">
        <w:rPr>
          <w:rFonts w:ascii="Arial" w:hAnsi="Arial" w:cs="Arial"/>
        </w:rPr>
        <w:t xml:space="preserve"> all – people’s needs are met when they are treated as individuals</w:t>
      </w:r>
      <w:r w:rsidR="0015555A">
        <w:rPr>
          <w:rFonts w:ascii="Arial" w:hAnsi="Arial" w:cs="Arial"/>
        </w:rPr>
        <w:t>.</w:t>
      </w:r>
      <w:r w:rsidRPr="000711F7">
        <w:rPr>
          <w:rFonts w:ascii="Arial" w:hAnsi="Arial" w:cs="Arial"/>
        </w:rPr>
        <w:t xml:space="preserve"> </w:t>
      </w:r>
      <w:r w:rsidR="0015555A">
        <w:rPr>
          <w:rFonts w:ascii="Arial" w:hAnsi="Arial" w:cs="Arial"/>
        </w:rPr>
        <w:t>T</w:t>
      </w:r>
      <w:r w:rsidRPr="000711F7">
        <w:rPr>
          <w:rFonts w:ascii="Arial" w:hAnsi="Arial" w:cs="Arial"/>
        </w:rPr>
        <w:t xml:space="preserve">hese figures illustrate the very real difference that group risk </w:t>
      </w:r>
      <w:r w:rsidR="00D177BA">
        <w:rPr>
          <w:rFonts w:ascii="Arial" w:hAnsi="Arial" w:cs="Arial"/>
        </w:rPr>
        <w:t xml:space="preserve">protection products </w:t>
      </w:r>
      <w:r w:rsidRPr="000711F7">
        <w:rPr>
          <w:rFonts w:ascii="Arial" w:hAnsi="Arial" w:cs="Arial"/>
        </w:rPr>
        <w:t>make to peoples’ lives day in and day out.”</w:t>
      </w:r>
      <w:r w:rsidRPr="00B57BEA">
        <w:rPr>
          <w:rFonts w:ascii="Arial" w:hAnsi="Arial" w:cs="Arial"/>
        </w:rPr>
        <w:t xml:space="preserve"> </w:t>
      </w:r>
    </w:p>
    <w:p w14:paraId="2681575F" w14:textId="23CEE27C" w:rsidR="003E14D0" w:rsidRDefault="003E14D0" w:rsidP="00D1117B">
      <w:pPr>
        <w:pStyle w:val="NoSpacing"/>
        <w:rPr>
          <w:rFonts w:ascii="Arial" w:hAnsi="Arial" w:cs="Arial"/>
        </w:rPr>
      </w:pPr>
    </w:p>
    <w:p w14:paraId="170F2B76" w14:textId="14F1CC56" w:rsidR="006D7885" w:rsidRDefault="006D7885" w:rsidP="006D7885">
      <w:pPr>
        <w:pStyle w:val="NoSpacing"/>
        <w:rPr>
          <w:rFonts w:ascii="Arial" w:hAnsi="Arial" w:cs="Arial"/>
          <w:b/>
        </w:rPr>
      </w:pPr>
      <w:r w:rsidRPr="00212F15">
        <w:rPr>
          <w:rFonts w:ascii="Arial" w:hAnsi="Arial" w:cs="Arial"/>
          <w:b/>
        </w:rPr>
        <w:t>Please also see the accompanying FAQs document.</w:t>
      </w:r>
    </w:p>
    <w:p w14:paraId="1B38BDF6" w14:textId="6ADC3B1D" w:rsidR="00CF5B9E" w:rsidRDefault="00CF5B9E" w:rsidP="006D7885">
      <w:pPr>
        <w:pStyle w:val="NoSpacing"/>
        <w:rPr>
          <w:rFonts w:ascii="Arial" w:hAnsi="Arial" w:cs="Arial"/>
          <w:b/>
        </w:rPr>
      </w:pPr>
    </w:p>
    <w:p w14:paraId="1DD4C2F2" w14:textId="68835D48" w:rsidR="00CF5B9E" w:rsidRDefault="00E355ED" w:rsidP="006D7885">
      <w:pPr>
        <w:pStyle w:val="NoSpacing"/>
        <w:rPr>
          <w:rFonts w:ascii="Arial" w:hAnsi="Arial" w:cs="Arial"/>
          <w:b/>
        </w:rPr>
      </w:pPr>
      <w:hyperlink r:id="rId8" w:history="1">
        <w:r w:rsidRPr="003D4B94">
          <w:rPr>
            <w:rStyle w:val="Hyperlink"/>
            <w:rFonts w:ascii="Arial" w:hAnsi="Arial" w:cs="Arial"/>
            <w:b/>
          </w:rPr>
          <w:t>http://bit.ly/2jFa8OV</w:t>
        </w:r>
      </w:hyperlink>
    </w:p>
    <w:p w14:paraId="1842C9A3" w14:textId="77777777" w:rsidR="00E355ED" w:rsidRDefault="00E355ED" w:rsidP="006D7885">
      <w:pPr>
        <w:pStyle w:val="NoSpacing"/>
        <w:rPr>
          <w:rFonts w:ascii="Arial" w:hAnsi="Arial" w:cs="Arial"/>
          <w:b/>
        </w:rPr>
      </w:pPr>
    </w:p>
    <w:p w14:paraId="1A7125ED" w14:textId="3AF2F584" w:rsidR="00AA628F" w:rsidRPr="00B57BEA" w:rsidRDefault="00AA628F" w:rsidP="002F16FA">
      <w:pPr>
        <w:pStyle w:val="NoSpacing"/>
        <w:rPr>
          <w:rFonts w:ascii="Arial" w:hAnsi="Arial" w:cs="Arial"/>
          <w:b/>
        </w:rPr>
      </w:pPr>
      <w:bookmarkStart w:id="0" w:name="_GoBack"/>
      <w:bookmarkEnd w:id="0"/>
      <w:r w:rsidRPr="00E83AAD">
        <w:rPr>
          <w:rFonts w:ascii="Arial" w:hAnsi="Arial" w:cs="Arial"/>
          <w:b/>
        </w:rPr>
        <w:t xml:space="preserve">Note: For </w:t>
      </w:r>
      <w:r w:rsidR="005C3910" w:rsidRPr="00E83AAD">
        <w:rPr>
          <w:rFonts w:ascii="Arial" w:hAnsi="Arial" w:cs="Arial"/>
          <w:b/>
        </w:rPr>
        <w:t xml:space="preserve">collated claims data </w:t>
      </w:r>
      <w:r w:rsidR="004C4822" w:rsidRPr="00E83AAD">
        <w:rPr>
          <w:rFonts w:ascii="Arial" w:hAnsi="Arial" w:cs="Arial"/>
          <w:b/>
        </w:rPr>
        <w:t>including those from</w:t>
      </w:r>
      <w:r w:rsidR="005C3910" w:rsidRPr="00E83AAD">
        <w:rPr>
          <w:rFonts w:ascii="Arial" w:hAnsi="Arial" w:cs="Arial"/>
          <w:b/>
        </w:rPr>
        <w:t xml:space="preserve"> the individual protection market, please refer to the ABI’s website </w:t>
      </w:r>
      <w:hyperlink r:id="rId9" w:history="1">
        <w:r w:rsidR="00DA2022" w:rsidRPr="00E83AAD">
          <w:rPr>
            <w:rStyle w:val="Hyperlink"/>
            <w:rFonts w:ascii="Arial" w:hAnsi="Arial" w:cs="Arial"/>
          </w:rPr>
          <w:t>https://www.abi.org.uk/</w:t>
        </w:r>
      </w:hyperlink>
      <w:r w:rsidR="00DA2022" w:rsidRPr="00B57BEA">
        <w:rPr>
          <w:rFonts w:ascii="Arial" w:hAnsi="Arial" w:cs="Arial"/>
          <w:b/>
        </w:rPr>
        <w:t xml:space="preserve"> </w:t>
      </w:r>
    </w:p>
    <w:p w14:paraId="2B8C431D" w14:textId="62003237" w:rsidR="003E14D0" w:rsidRPr="00B57BEA" w:rsidRDefault="003E14D0" w:rsidP="00604741">
      <w:pPr>
        <w:pStyle w:val="NoSpacing"/>
        <w:jc w:val="both"/>
        <w:rPr>
          <w:rFonts w:ascii="Arial" w:hAnsi="Arial" w:cs="Arial"/>
        </w:rPr>
      </w:pPr>
    </w:p>
    <w:p w14:paraId="38394F44" w14:textId="09A2B66D" w:rsidR="006F697D" w:rsidRPr="00B57BEA" w:rsidRDefault="006F697D" w:rsidP="00B15703">
      <w:pPr>
        <w:spacing w:after="0" w:line="240" w:lineRule="auto"/>
        <w:rPr>
          <w:rFonts w:ascii="Arial" w:eastAsia="Times New Roman" w:hAnsi="Arial" w:cs="Arial"/>
          <w:lang w:eastAsia="en-GB"/>
        </w:rPr>
      </w:pPr>
    </w:p>
    <w:p w14:paraId="423D3B74" w14:textId="40555B1E" w:rsidR="006F697D" w:rsidRPr="009A59BC" w:rsidRDefault="001E78C9" w:rsidP="00B15703">
      <w:pPr>
        <w:spacing w:after="0" w:line="240" w:lineRule="auto"/>
        <w:rPr>
          <w:rFonts w:ascii="Arial" w:hAnsi="Arial" w:cs="Arial"/>
          <w:b/>
          <w:color w:val="7030A0"/>
        </w:rPr>
      </w:pPr>
      <w:r w:rsidRPr="009A59BC">
        <w:rPr>
          <w:rFonts w:ascii="Arial" w:hAnsi="Arial" w:cs="Arial"/>
          <w:b/>
          <w:color w:val="7030A0"/>
        </w:rPr>
        <w:t>Julie’s story</w:t>
      </w:r>
      <w:r w:rsidR="0070791E">
        <w:rPr>
          <w:rFonts w:ascii="Arial" w:hAnsi="Arial" w:cs="Arial"/>
          <w:b/>
          <w:color w:val="7030A0"/>
        </w:rPr>
        <w:t xml:space="preserve"> (not her real name)</w:t>
      </w:r>
    </w:p>
    <w:p w14:paraId="638E07EA" w14:textId="3C9DD193" w:rsidR="009A59BC" w:rsidRPr="009A59BC" w:rsidRDefault="009A59BC" w:rsidP="009A59BC">
      <w:pPr>
        <w:rPr>
          <w:rFonts w:ascii="Arial" w:hAnsi="Arial" w:cs="Arial"/>
          <w:color w:val="7030A0"/>
        </w:rPr>
      </w:pPr>
      <w:r w:rsidRPr="009A59BC">
        <w:rPr>
          <w:rFonts w:ascii="Arial" w:hAnsi="Arial" w:cs="Arial"/>
          <w:color w:val="7030A0"/>
        </w:rPr>
        <w:t xml:space="preserve">During </w:t>
      </w:r>
      <w:r>
        <w:rPr>
          <w:rFonts w:ascii="Arial" w:hAnsi="Arial" w:cs="Arial"/>
          <w:color w:val="7030A0"/>
        </w:rPr>
        <w:t xml:space="preserve">her </w:t>
      </w:r>
      <w:r w:rsidRPr="009A59BC">
        <w:rPr>
          <w:rFonts w:ascii="Arial" w:hAnsi="Arial" w:cs="Arial"/>
          <w:color w:val="7030A0"/>
        </w:rPr>
        <w:t xml:space="preserve">work for a global professional services firm, </w:t>
      </w:r>
      <w:r>
        <w:rPr>
          <w:rFonts w:ascii="Arial" w:hAnsi="Arial" w:cs="Arial"/>
          <w:color w:val="7030A0"/>
        </w:rPr>
        <w:t>Julie</w:t>
      </w:r>
      <w:r w:rsidRPr="009A59BC">
        <w:rPr>
          <w:rFonts w:ascii="Arial" w:hAnsi="Arial" w:cs="Arial"/>
          <w:color w:val="7030A0"/>
        </w:rPr>
        <w:t xml:space="preserve"> had become so stressed and anxious</w:t>
      </w:r>
      <w:r>
        <w:rPr>
          <w:rFonts w:ascii="Arial" w:hAnsi="Arial" w:cs="Arial"/>
          <w:color w:val="7030A0"/>
        </w:rPr>
        <w:t xml:space="preserve"> she </w:t>
      </w:r>
      <w:r w:rsidRPr="009A59BC">
        <w:rPr>
          <w:rFonts w:ascii="Arial" w:hAnsi="Arial" w:cs="Arial"/>
          <w:color w:val="7030A0"/>
        </w:rPr>
        <w:t xml:space="preserve">found </w:t>
      </w:r>
      <w:r>
        <w:rPr>
          <w:rFonts w:ascii="Arial" w:hAnsi="Arial" w:cs="Arial"/>
          <w:color w:val="7030A0"/>
        </w:rPr>
        <w:t>herself</w:t>
      </w:r>
      <w:r w:rsidRPr="009A59BC">
        <w:rPr>
          <w:rFonts w:ascii="Arial" w:hAnsi="Arial" w:cs="Arial"/>
          <w:color w:val="7030A0"/>
        </w:rPr>
        <w:t xml:space="preserve"> unable to speak when working with and around colleagues. </w:t>
      </w:r>
      <w:r w:rsidR="00683213">
        <w:rPr>
          <w:rFonts w:ascii="Arial" w:hAnsi="Arial" w:cs="Arial"/>
          <w:color w:val="7030A0"/>
        </w:rPr>
        <w:t>T</w:t>
      </w:r>
      <w:r w:rsidRPr="009A59BC">
        <w:rPr>
          <w:rFonts w:ascii="Arial" w:hAnsi="Arial" w:cs="Arial"/>
          <w:color w:val="7030A0"/>
        </w:rPr>
        <w:t>he office was open-plan</w:t>
      </w:r>
      <w:r w:rsidR="00EF77D3">
        <w:rPr>
          <w:rFonts w:ascii="Arial" w:hAnsi="Arial" w:cs="Arial"/>
          <w:color w:val="7030A0"/>
        </w:rPr>
        <w:t xml:space="preserve"> </w:t>
      </w:r>
      <w:r w:rsidR="00EF77D3" w:rsidRPr="009A59BC">
        <w:rPr>
          <w:rFonts w:ascii="Arial" w:hAnsi="Arial" w:cs="Arial"/>
          <w:color w:val="7030A0"/>
        </w:rPr>
        <w:t xml:space="preserve">and the nature of </w:t>
      </w:r>
      <w:r w:rsidR="00EF77D3">
        <w:rPr>
          <w:rFonts w:ascii="Arial" w:hAnsi="Arial" w:cs="Arial"/>
          <w:color w:val="7030A0"/>
        </w:rPr>
        <w:t>her</w:t>
      </w:r>
      <w:r w:rsidR="00EF77D3" w:rsidRPr="009A59BC">
        <w:rPr>
          <w:rFonts w:ascii="Arial" w:hAnsi="Arial" w:cs="Arial"/>
          <w:color w:val="7030A0"/>
        </w:rPr>
        <w:t xml:space="preserve"> fixed, desk-based work</w:t>
      </w:r>
      <w:r w:rsidR="00EF77D3">
        <w:rPr>
          <w:rFonts w:ascii="Arial" w:hAnsi="Arial" w:cs="Arial"/>
          <w:color w:val="7030A0"/>
        </w:rPr>
        <w:t xml:space="preserve"> meant</w:t>
      </w:r>
      <w:r w:rsidR="00683213">
        <w:rPr>
          <w:rFonts w:ascii="Arial" w:hAnsi="Arial" w:cs="Arial"/>
          <w:color w:val="7030A0"/>
        </w:rPr>
        <w:t xml:space="preserve"> </w:t>
      </w:r>
      <w:r w:rsidRPr="009A59BC">
        <w:rPr>
          <w:rFonts w:ascii="Arial" w:hAnsi="Arial" w:cs="Arial"/>
          <w:color w:val="7030A0"/>
        </w:rPr>
        <w:t xml:space="preserve">there was little respite for </w:t>
      </w:r>
      <w:r>
        <w:rPr>
          <w:rFonts w:ascii="Arial" w:hAnsi="Arial" w:cs="Arial"/>
          <w:color w:val="7030A0"/>
        </w:rPr>
        <w:t>Julie</w:t>
      </w:r>
      <w:r w:rsidR="00EF77D3">
        <w:rPr>
          <w:rFonts w:ascii="Arial" w:hAnsi="Arial" w:cs="Arial"/>
          <w:color w:val="7030A0"/>
        </w:rPr>
        <w:t xml:space="preserve"> </w:t>
      </w:r>
      <w:r>
        <w:rPr>
          <w:rFonts w:ascii="Arial" w:hAnsi="Arial" w:cs="Arial"/>
          <w:color w:val="7030A0"/>
        </w:rPr>
        <w:t>–</w:t>
      </w:r>
      <w:r w:rsidRPr="009A59BC">
        <w:rPr>
          <w:rFonts w:ascii="Arial" w:hAnsi="Arial" w:cs="Arial"/>
          <w:color w:val="7030A0"/>
        </w:rPr>
        <w:t xml:space="preserve"> and</w:t>
      </w:r>
      <w:r>
        <w:rPr>
          <w:rFonts w:ascii="Arial" w:hAnsi="Arial" w:cs="Arial"/>
          <w:color w:val="7030A0"/>
        </w:rPr>
        <w:t xml:space="preserve"> </w:t>
      </w:r>
      <w:r w:rsidR="00543DB7">
        <w:rPr>
          <w:rFonts w:ascii="Arial" w:hAnsi="Arial" w:cs="Arial"/>
          <w:color w:val="7030A0"/>
        </w:rPr>
        <w:t>there was no option for her</w:t>
      </w:r>
      <w:r w:rsidRPr="009A59BC">
        <w:rPr>
          <w:rFonts w:ascii="Arial" w:hAnsi="Arial" w:cs="Arial"/>
          <w:color w:val="7030A0"/>
        </w:rPr>
        <w:t xml:space="preserve"> to work from home.</w:t>
      </w:r>
    </w:p>
    <w:p w14:paraId="57E8AD07" w14:textId="1F14B798" w:rsidR="009A59BC" w:rsidRPr="009A59BC" w:rsidRDefault="009A59BC" w:rsidP="009A59BC">
      <w:pPr>
        <w:rPr>
          <w:rFonts w:ascii="Arial" w:hAnsi="Arial" w:cs="Arial"/>
          <w:color w:val="7030A0"/>
        </w:rPr>
      </w:pPr>
      <w:r>
        <w:rPr>
          <w:rFonts w:ascii="Arial" w:hAnsi="Arial" w:cs="Arial"/>
          <w:color w:val="7030A0"/>
        </w:rPr>
        <w:t xml:space="preserve">Julie’s </w:t>
      </w:r>
      <w:r w:rsidRPr="009A59BC">
        <w:rPr>
          <w:rFonts w:ascii="Arial" w:hAnsi="Arial" w:cs="Arial"/>
          <w:color w:val="7030A0"/>
        </w:rPr>
        <w:t xml:space="preserve">line manager was unsupportive, disagreeing with </w:t>
      </w:r>
      <w:r>
        <w:rPr>
          <w:rFonts w:ascii="Arial" w:hAnsi="Arial" w:cs="Arial"/>
          <w:color w:val="7030A0"/>
        </w:rPr>
        <w:t xml:space="preserve">her </w:t>
      </w:r>
      <w:r w:rsidRPr="009A59BC">
        <w:rPr>
          <w:rFonts w:ascii="Arial" w:hAnsi="Arial" w:cs="Arial"/>
          <w:color w:val="7030A0"/>
        </w:rPr>
        <w:t>requests</w:t>
      </w:r>
      <w:r>
        <w:rPr>
          <w:rFonts w:ascii="Arial" w:hAnsi="Arial" w:cs="Arial"/>
          <w:color w:val="7030A0"/>
        </w:rPr>
        <w:t xml:space="preserve">, </w:t>
      </w:r>
      <w:r w:rsidRPr="009A59BC">
        <w:rPr>
          <w:rFonts w:ascii="Arial" w:hAnsi="Arial" w:cs="Arial"/>
          <w:color w:val="7030A0"/>
        </w:rPr>
        <w:t xml:space="preserve">distrusting </w:t>
      </w:r>
      <w:r>
        <w:rPr>
          <w:rFonts w:ascii="Arial" w:hAnsi="Arial" w:cs="Arial"/>
          <w:color w:val="7030A0"/>
        </w:rPr>
        <w:t>her reasons</w:t>
      </w:r>
      <w:r w:rsidRPr="009A59BC">
        <w:rPr>
          <w:rFonts w:ascii="Arial" w:hAnsi="Arial" w:cs="Arial"/>
          <w:color w:val="7030A0"/>
        </w:rPr>
        <w:t xml:space="preserve"> and </w:t>
      </w:r>
      <w:r>
        <w:rPr>
          <w:rFonts w:ascii="Arial" w:hAnsi="Arial" w:cs="Arial"/>
          <w:color w:val="7030A0"/>
        </w:rPr>
        <w:t xml:space="preserve">questioning whether Julie’s </w:t>
      </w:r>
      <w:r w:rsidRPr="009A59BC">
        <w:rPr>
          <w:rFonts w:ascii="Arial" w:hAnsi="Arial" w:cs="Arial"/>
          <w:color w:val="7030A0"/>
        </w:rPr>
        <w:t>sickness absence</w:t>
      </w:r>
      <w:r>
        <w:rPr>
          <w:rFonts w:ascii="Arial" w:hAnsi="Arial" w:cs="Arial"/>
          <w:color w:val="7030A0"/>
        </w:rPr>
        <w:t xml:space="preserve"> was genuine</w:t>
      </w:r>
      <w:r w:rsidRPr="009A59BC">
        <w:rPr>
          <w:rFonts w:ascii="Arial" w:hAnsi="Arial" w:cs="Arial"/>
          <w:color w:val="7030A0"/>
        </w:rPr>
        <w:t xml:space="preserve">. The result of being at odds with </w:t>
      </w:r>
      <w:r w:rsidR="0015555A">
        <w:rPr>
          <w:rFonts w:ascii="Arial" w:hAnsi="Arial" w:cs="Arial"/>
          <w:color w:val="7030A0"/>
        </w:rPr>
        <w:t xml:space="preserve">her boss </w:t>
      </w:r>
      <w:r>
        <w:rPr>
          <w:rFonts w:ascii="Arial" w:hAnsi="Arial" w:cs="Arial"/>
          <w:color w:val="7030A0"/>
        </w:rPr>
        <w:t xml:space="preserve">led to a </w:t>
      </w:r>
      <w:r w:rsidRPr="009A59BC">
        <w:rPr>
          <w:rFonts w:ascii="Arial" w:hAnsi="Arial" w:cs="Arial"/>
          <w:color w:val="7030A0"/>
        </w:rPr>
        <w:t xml:space="preserve">complete breakdown of the relationship between the two, </w:t>
      </w:r>
      <w:r>
        <w:rPr>
          <w:rFonts w:ascii="Arial" w:hAnsi="Arial" w:cs="Arial"/>
          <w:color w:val="7030A0"/>
        </w:rPr>
        <w:t xml:space="preserve">Julie’s </w:t>
      </w:r>
      <w:r w:rsidRPr="009A59BC">
        <w:rPr>
          <w:rFonts w:ascii="Arial" w:hAnsi="Arial" w:cs="Arial"/>
          <w:color w:val="7030A0"/>
        </w:rPr>
        <w:t xml:space="preserve">disengagement with both the process and </w:t>
      </w:r>
      <w:r>
        <w:rPr>
          <w:rFonts w:ascii="Arial" w:hAnsi="Arial" w:cs="Arial"/>
          <w:color w:val="7030A0"/>
        </w:rPr>
        <w:t xml:space="preserve">her </w:t>
      </w:r>
      <w:r w:rsidRPr="009A59BC">
        <w:rPr>
          <w:rFonts w:ascii="Arial" w:hAnsi="Arial" w:cs="Arial"/>
          <w:color w:val="7030A0"/>
        </w:rPr>
        <w:t xml:space="preserve">work, and - in a vicious circle - an increase in </w:t>
      </w:r>
      <w:r>
        <w:rPr>
          <w:rFonts w:ascii="Arial" w:hAnsi="Arial" w:cs="Arial"/>
          <w:color w:val="7030A0"/>
        </w:rPr>
        <w:t xml:space="preserve">Julie’s </w:t>
      </w:r>
      <w:r w:rsidRPr="009A59BC">
        <w:rPr>
          <w:rFonts w:ascii="Arial" w:hAnsi="Arial" w:cs="Arial"/>
          <w:color w:val="7030A0"/>
        </w:rPr>
        <w:t>stress and anxiety levels.</w:t>
      </w:r>
    </w:p>
    <w:p w14:paraId="216EA6F3" w14:textId="3F096336" w:rsidR="009A59BC" w:rsidRPr="009A59BC" w:rsidRDefault="009A59BC" w:rsidP="009A59BC">
      <w:pPr>
        <w:rPr>
          <w:rFonts w:ascii="Arial" w:hAnsi="Arial" w:cs="Arial"/>
          <w:color w:val="7030A0"/>
        </w:rPr>
      </w:pPr>
      <w:r>
        <w:rPr>
          <w:rFonts w:ascii="Arial" w:hAnsi="Arial" w:cs="Arial"/>
          <w:color w:val="7030A0"/>
        </w:rPr>
        <w:t xml:space="preserve">The group income protection insurer </w:t>
      </w:r>
      <w:r w:rsidRPr="009A59BC">
        <w:rPr>
          <w:rFonts w:ascii="Arial" w:hAnsi="Arial" w:cs="Arial"/>
          <w:color w:val="7030A0"/>
        </w:rPr>
        <w:t xml:space="preserve">facilitated an initial return to work interview between </w:t>
      </w:r>
      <w:r>
        <w:rPr>
          <w:rFonts w:ascii="Arial" w:hAnsi="Arial" w:cs="Arial"/>
          <w:color w:val="7030A0"/>
        </w:rPr>
        <w:t xml:space="preserve">Julie, her employer’s </w:t>
      </w:r>
      <w:r w:rsidRPr="009A59BC">
        <w:rPr>
          <w:rFonts w:ascii="Arial" w:hAnsi="Arial" w:cs="Arial"/>
          <w:color w:val="7030A0"/>
        </w:rPr>
        <w:t>HR representative</w:t>
      </w:r>
      <w:r w:rsidR="004857EC">
        <w:rPr>
          <w:rFonts w:ascii="Arial" w:hAnsi="Arial" w:cs="Arial"/>
          <w:color w:val="7030A0"/>
        </w:rPr>
        <w:t xml:space="preserve"> and her</w:t>
      </w:r>
      <w:r w:rsidRPr="009A59BC">
        <w:rPr>
          <w:rFonts w:ascii="Arial" w:hAnsi="Arial" w:cs="Arial"/>
          <w:color w:val="7030A0"/>
        </w:rPr>
        <w:t xml:space="preserve"> line manager in a candid, but supportive manner where all parties could outline their concerns. </w:t>
      </w:r>
      <w:r w:rsidR="004857EC">
        <w:rPr>
          <w:rFonts w:ascii="Arial" w:hAnsi="Arial" w:cs="Arial"/>
          <w:color w:val="7030A0"/>
        </w:rPr>
        <w:t>The insurer was</w:t>
      </w:r>
      <w:r w:rsidRPr="009A59BC">
        <w:rPr>
          <w:rFonts w:ascii="Arial" w:hAnsi="Arial" w:cs="Arial"/>
          <w:color w:val="7030A0"/>
        </w:rPr>
        <w:t xml:space="preserve"> able to address the flashpoints highlighted and create practical solutions acceptable to all.</w:t>
      </w:r>
    </w:p>
    <w:p w14:paraId="14ABAF86" w14:textId="3B366FF1" w:rsidR="009A59BC" w:rsidRPr="009A59BC" w:rsidRDefault="004857EC" w:rsidP="009A59BC">
      <w:pPr>
        <w:rPr>
          <w:rFonts w:ascii="Arial" w:hAnsi="Arial" w:cs="Arial"/>
          <w:color w:val="7030A0"/>
        </w:rPr>
      </w:pPr>
      <w:r>
        <w:rPr>
          <w:rFonts w:ascii="Arial" w:hAnsi="Arial" w:cs="Arial"/>
          <w:color w:val="7030A0"/>
        </w:rPr>
        <w:t>A point was reached where</w:t>
      </w:r>
      <w:r w:rsidR="009A59BC" w:rsidRPr="009A59BC">
        <w:rPr>
          <w:rFonts w:ascii="Arial" w:hAnsi="Arial" w:cs="Arial"/>
          <w:color w:val="7030A0"/>
        </w:rPr>
        <w:t xml:space="preserve"> everyone understood the need for </w:t>
      </w:r>
      <w:r>
        <w:rPr>
          <w:rFonts w:ascii="Arial" w:hAnsi="Arial" w:cs="Arial"/>
          <w:color w:val="7030A0"/>
        </w:rPr>
        <w:t>Julie</w:t>
      </w:r>
      <w:r w:rsidR="009A59BC" w:rsidRPr="009A59BC">
        <w:rPr>
          <w:rFonts w:ascii="Arial" w:hAnsi="Arial" w:cs="Arial"/>
          <w:color w:val="7030A0"/>
        </w:rPr>
        <w:t xml:space="preserve"> to be able to work, but in an environment that supported </w:t>
      </w:r>
      <w:r>
        <w:rPr>
          <w:rFonts w:ascii="Arial" w:hAnsi="Arial" w:cs="Arial"/>
          <w:color w:val="7030A0"/>
        </w:rPr>
        <w:t xml:space="preserve">her </w:t>
      </w:r>
      <w:r w:rsidR="009A59BC" w:rsidRPr="009A59BC">
        <w:rPr>
          <w:rFonts w:ascii="Arial" w:hAnsi="Arial" w:cs="Arial"/>
          <w:color w:val="7030A0"/>
        </w:rPr>
        <w:t xml:space="preserve">recovery. </w:t>
      </w:r>
      <w:r>
        <w:rPr>
          <w:rFonts w:ascii="Arial" w:hAnsi="Arial" w:cs="Arial"/>
          <w:color w:val="7030A0"/>
        </w:rPr>
        <w:t xml:space="preserve">Julie’s </w:t>
      </w:r>
      <w:r w:rsidR="009A59BC" w:rsidRPr="009A59BC">
        <w:rPr>
          <w:rFonts w:ascii="Arial" w:hAnsi="Arial" w:cs="Arial"/>
          <w:color w:val="7030A0"/>
        </w:rPr>
        <w:t xml:space="preserve">line manager agreed to provide a laptop to ensure </w:t>
      </w:r>
      <w:r w:rsidR="00B334AA">
        <w:rPr>
          <w:rFonts w:ascii="Arial" w:hAnsi="Arial" w:cs="Arial"/>
          <w:color w:val="7030A0"/>
        </w:rPr>
        <w:t>some flexibility within the office</w:t>
      </w:r>
      <w:r w:rsidR="009A59BC" w:rsidRPr="009A59BC">
        <w:rPr>
          <w:rFonts w:ascii="Arial" w:hAnsi="Arial" w:cs="Arial"/>
          <w:color w:val="7030A0"/>
        </w:rPr>
        <w:t xml:space="preserve">. </w:t>
      </w:r>
      <w:r>
        <w:rPr>
          <w:rFonts w:ascii="Arial" w:hAnsi="Arial" w:cs="Arial"/>
          <w:color w:val="7030A0"/>
        </w:rPr>
        <w:t xml:space="preserve">The insurer </w:t>
      </w:r>
      <w:r w:rsidR="009A59BC" w:rsidRPr="009A59BC">
        <w:rPr>
          <w:rFonts w:ascii="Arial" w:hAnsi="Arial" w:cs="Arial"/>
          <w:color w:val="7030A0"/>
        </w:rPr>
        <w:t xml:space="preserve">also highlighted the </w:t>
      </w:r>
      <w:r>
        <w:rPr>
          <w:rFonts w:ascii="Arial" w:hAnsi="Arial" w:cs="Arial"/>
          <w:color w:val="7030A0"/>
        </w:rPr>
        <w:t xml:space="preserve">importance of </w:t>
      </w:r>
      <w:r w:rsidR="009A59BC" w:rsidRPr="009A59BC">
        <w:rPr>
          <w:rFonts w:ascii="Arial" w:hAnsi="Arial" w:cs="Arial"/>
          <w:color w:val="7030A0"/>
        </w:rPr>
        <w:t>work and health, and the i</w:t>
      </w:r>
      <w:r>
        <w:rPr>
          <w:rFonts w:ascii="Arial" w:hAnsi="Arial" w:cs="Arial"/>
          <w:color w:val="7030A0"/>
        </w:rPr>
        <w:t>mpact</w:t>
      </w:r>
      <w:r w:rsidR="009A59BC" w:rsidRPr="009A59BC">
        <w:rPr>
          <w:rFonts w:ascii="Arial" w:hAnsi="Arial" w:cs="Arial"/>
          <w:color w:val="7030A0"/>
        </w:rPr>
        <w:t xml:space="preserve"> one had on the other,</w:t>
      </w:r>
      <w:r>
        <w:rPr>
          <w:rFonts w:ascii="Arial" w:hAnsi="Arial" w:cs="Arial"/>
          <w:color w:val="7030A0"/>
        </w:rPr>
        <w:t xml:space="preserve"> in order to encourage Julie</w:t>
      </w:r>
      <w:r w:rsidR="009A59BC" w:rsidRPr="009A59BC">
        <w:rPr>
          <w:rFonts w:ascii="Arial" w:hAnsi="Arial" w:cs="Arial"/>
          <w:color w:val="7030A0"/>
        </w:rPr>
        <w:t xml:space="preserve"> </w:t>
      </w:r>
      <w:r>
        <w:rPr>
          <w:rFonts w:ascii="Arial" w:hAnsi="Arial" w:cs="Arial"/>
          <w:color w:val="7030A0"/>
        </w:rPr>
        <w:t xml:space="preserve">to try a </w:t>
      </w:r>
      <w:r w:rsidR="009A59BC" w:rsidRPr="009A59BC">
        <w:rPr>
          <w:rFonts w:ascii="Arial" w:hAnsi="Arial" w:cs="Arial"/>
          <w:color w:val="7030A0"/>
        </w:rPr>
        <w:t xml:space="preserve">graduated return to work plan. </w:t>
      </w:r>
    </w:p>
    <w:p w14:paraId="4BA8D2AD" w14:textId="15A8A275" w:rsidR="00AE2CAA" w:rsidRDefault="009A59BC" w:rsidP="009A59BC">
      <w:pPr>
        <w:rPr>
          <w:rFonts w:ascii="Arial" w:hAnsi="Arial" w:cs="Arial"/>
          <w:color w:val="7030A0"/>
        </w:rPr>
      </w:pPr>
      <w:r w:rsidRPr="009A59BC">
        <w:rPr>
          <w:rFonts w:ascii="Arial" w:hAnsi="Arial" w:cs="Arial"/>
          <w:color w:val="7030A0"/>
        </w:rPr>
        <w:t xml:space="preserve">The ability to clear the air and listen to each other within a non-confrontational, </w:t>
      </w:r>
      <w:r w:rsidR="00AE2CAA">
        <w:rPr>
          <w:rFonts w:ascii="Arial" w:hAnsi="Arial" w:cs="Arial"/>
          <w:color w:val="7030A0"/>
        </w:rPr>
        <w:t xml:space="preserve">mediated </w:t>
      </w:r>
      <w:r w:rsidRPr="009A59BC">
        <w:rPr>
          <w:rFonts w:ascii="Arial" w:hAnsi="Arial" w:cs="Arial"/>
          <w:color w:val="7030A0"/>
        </w:rPr>
        <w:t xml:space="preserve">environment was key to building bridges. The provision of the laptop allowed </w:t>
      </w:r>
      <w:r w:rsidR="00AE2CAA">
        <w:rPr>
          <w:rFonts w:ascii="Arial" w:hAnsi="Arial" w:cs="Arial"/>
          <w:color w:val="7030A0"/>
        </w:rPr>
        <w:t>Julie some much-needed</w:t>
      </w:r>
      <w:r w:rsidRPr="009A59BC">
        <w:rPr>
          <w:rFonts w:ascii="Arial" w:hAnsi="Arial" w:cs="Arial"/>
          <w:color w:val="7030A0"/>
        </w:rPr>
        <w:t xml:space="preserve"> flexib</w:t>
      </w:r>
      <w:r w:rsidR="00AE2CAA">
        <w:rPr>
          <w:rFonts w:ascii="Arial" w:hAnsi="Arial" w:cs="Arial"/>
          <w:color w:val="7030A0"/>
        </w:rPr>
        <w:t>ility</w:t>
      </w:r>
      <w:r w:rsidRPr="009A59BC">
        <w:rPr>
          <w:rFonts w:ascii="Arial" w:hAnsi="Arial" w:cs="Arial"/>
          <w:color w:val="7030A0"/>
        </w:rPr>
        <w:t xml:space="preserve">. If </w:t>
      </w:r>
      <w:r w:rsidR="00AE2CAA">
        <w:rPr>
          <w:rFonts w:ascii="Arial" w:hAnsi="Arial" w:cs="Arial"/>
          <w:color w:val="7030A0"/>
        </w:rPr>
        <w:t>Julie</w:t>
      </w:r>
      <w:r w:rsidRPr="009A59BC">
        <w:rPr>
          <w:rFonts w:ascii="Arial" w:hAnsi="Arial" w:cs="Arial"/>
          <w:color w:val="7030A0"/>
        </w:rPr>
        <w:t xml:space="preserve">’s anxiety flared up, she was able to remove </w:t>
      </w:r>
      <w:r w:rsidR="00AE2CAA">
        <w:rPr>
          <w:rFonts w:ascii="Arial" w:hAnsi="Arial" w:cs="Arial"/>
          <w:color w:val="7030A0"/>
        </w:rPr>
        <w:t>herself</w:t>
      </w:r>
      <w:r w:rsidRPr="009A59BC">
        <w:rPr>
          <w:rFonts w:ascii="Arial" w:hAnsi="Arial" w:cs="Arial"/>
          <w:color w:val="7030A0"/>
        </w:rPr>
        <w:t xml:space="preserve"> from the pressures of a busy office to </w:t>
      </w:r>
      <w:r w:rsidR="00B334AA">
        <w:rPr>
          <w:rFonts w:ascii="Arial" w:hAnsi="Arial" w:cs="Arial"/>
          <w:color w:val="7030A0"/>
        </w:rPr>
        <w:t xml:space="preserve">work in a </w:t>
      </w:r>
      <w:r w:rsidRPr="009A59BC">
        <w:rPr>
          <w:rFonts w:ascii="Arial" w:hAnsi="Arial" w:cs="Arial"/>
          <w:color w:val="7030A0"/>
        </w:rPr>
        <w:t xml:space="preserve">quiet meeting room.  </w:t>
      </w:r>
    </w:p>
    <w:p w14:paraId="3EF76BB4" w14:textId="57A609EE" w:rsidR="00F37AE9" w:rsidRPr="006D7885" w:rsidRDefault="009A59BC" w:rsidP="006D7885">
      <w:pPr>
        <w:rPr>
          <w:rFonts w:ascii="Arial" w:hAnsi="Arial" w:cs="Arial"/>
          <w:color w:val="7030A0"/>
        </w:rPr>
      </w:pPr>
      <w:r w:rsidRPr="009A59BC">
        <w:rPr>
          <w:rFonts w:ascii="Arial" w:hAnsi="Arial" w:cs="Arial"/>
          <w:color w:val="7030A0"/>
        </w:rPr>
        <w:t xml:space="preserve">As a result of the </w:t>
      </w:r>
      <w:r w:rsidR="00AE2CAA">
        <w:rPr>
          <w:rFonts w:ascii="Arial" w:hAnsi="Arial" w:cs="Arial"/>
          <w:color w:val="7030A0"/>
        </w:rPr>
        <w:t xml:space="preserve">insurer’s </w:t>
      </w:r>
      <w:r w:rsidRPr="009A59BC">
        <w:rPr>
          <w:rFonts w:ascii="Arial" w:hAnsi="Arial" w:cs="Arial"/>
          <w:color w:val="7030A0"/>
        </w:rPr>
        <w:t xml:space="preserve">support, the relationship between </w:t>
      </w:r>
      <w:r w:rsidR="00AE2CAA">
        <w:rPr>
          <w:rFonts w:ascii="Arial" w:hAnsi="Arial" w:cs="Arial"/>
          <w:color w:val="7030A0"/>
        </w:rPr>
        <w:t>Julie and her</w:t>
      </w:r>
      <w:r w:rsidRPr="009A59BC">
        <w:rPr>
          <w:rFonts w:ascii="Arial" w:hAnsi="Arial" w:cs="Arial"/>
          <w:color w:val="7030A0"/>
        </w:rPr>
        <w:t xml:space="preserve"> line manager greatly improved, removing another stress</w:t>
      </w:r>
      <w:r w:rsidR="0015555A">
        <w:rPr>
          <w:rFonts w:ascii="Arial" w:hAnsi="Arial" w:cs="Arial"/>
          <w:color w:val="7030A0"/>
        </w:rPr>
        <w:t xml:space="preserve"> fact</w:t>
      </w:r>
      <w:r w:rsidRPr="009A59BC">
        <w:rPr>
          <w:rFonts w:ascii="Arial" w:hAnsi="Arial" w:cs="Arial"/>
          <w:color w:val="7030A0"/>
        </w:rPr>
        <w:t xml:space="preserve">or and barrier to </w:t>
      </w:r>
      <w:r w:rsidR="00AE2CAA">
        <w:rPr>
          <w:rFonts w:ascii="Arial" w:hAnsi="Arial" w:cs="Arial"/>
          <w:color w:val="7030A0"/>
        </w:rPr>
        <w:t xml:space="preserve">her </w:t>
      </w:r>
      <w:r w:rsidRPr="009A59BC">
        <w:rPr>
          <w:rFonts w:ascii="Arial" w:hAnsi="Arial" w:cs="Arial"/>
          <w:color w:val="7030A0"/>
        </w:rPr>
        <w:t xml:space="preserve">recovery. Since completing the graduated return to work plan, </w:t>
      </w:r>
      <w:r w:rsidR="00AE2CAA">
        <w:rPr>
          <w:rFonts w:ascii="Arial" w:hAnsi="Arial" w:cs="Arial"/>
          <w:color w:val="7030A0"/>
        </w:rPr>
        <w:t>Julie</w:t>
      </w:r>
      <w:r w:rsidRPr="009A59BC">
        <w:rPr>
          <w:rFonts w:ascii="Arial" w:hAnsi="Arial" w:cs="Arial"/>
          <w:color w:val="7030A0"/>
        </w:rPr>
        <w:t xml:space="preserve"> is now successfully </w:t>
      </w:r>
      <w:r w:rsidR="00B334AA">
        <w:rPr>
          <w:rFonts w:ascii="Arial" w:hAnsi="Arial" w:cs="Arial"/>
          <w:color w:val="7030A0"/>
        </w:rPr>
        <w:t xml:space="preserve">fully </w:t>
      </w:r>
      <w:r w:rsidRPr="009A59BC">
        <w:rPr>
          <w:rFonts w:ascii="Arial" w:hAnsi="Arial" w:cs="Arial"/>
          <w:color w:val="7030A0"/>
        </w:rPr>
        <w:t xml:space="preserve">back at work. </w:t>
      </w:r>
    </w:p>
    <w:p w14:paraId="34EBACC3" w14:textId="77777777" w:rsidR="00270E6C" w:rsidRPr="00B57BEA" w:rsidRDefault="004855EE" w:rsidP="00245113">
      <w:pPr>
        <w:pStyle w:val="NoSpacing"/>
        <w:ind w:left="720"/>
        <w:jc w:val="center"/>
        <w:rPr>
          <w:rFonts w:ascii="Arial" w:hAnsi="Arial" w:cs="Arial"/>
          <w:b/>
        </w:rPr>
      </w:pPr>
      <w:r w:rsidRPr="00B57BEA">
        <w:rPr>
          <w:rFonts w:ascii="Arial" w:hAnsi="Arial" w:cs="Arial"/>
          <w:b/>
        </w:rPr>
        <w:t>-</w:t>
      </w:r>
      <w:r w:rsidR="00F37AE9" w:rsidRPr="00B57BEA">
        <w:rPr>
          <w:rFonts w:ascii="Arial" w:hAnsi="Arial" w:cs="Arial"/>
          <w:b/>
        </w:rPr>
        <w:t>Ends</w:t>
      </w:r>
      <w:r w:rsidRPr="00B57BEA">
        <w:rPr>
          <w:rFonts w:ascii="Arial" w:hAnsi="Arial" w:cs="Arial"/>
          <w:b/>
        </w:rPr>
        <w:t>-</w:t>
      </w:r>
    </w:p>
    <w:p w14:paraId="504F7C8C" w14:textId="77777777" w:rsidR="00270E6C" w:rsidRPr="00B57BEA" w:rsidRDefault="00270E6C" w:rsidP="00EA3A83">
      <w:pPr>
        <w:pStyle w:val="NoSpacing"/>
        <w:rPr>
          <w:rFonts w:ascii="Arial" w:hAnsi="Arial" w:cs="Arial"/>
          <w:b/>
        </w:rPr>
      </w:pPr>
    </w:p>
    <w:p w14:paraId="77BCBDFE" w14:textId="77777777" w:rsidR="00BA1863" w:rsidRDefault="00BA1863" w:rsidP="00EA3A83">
      <w:pPr>
        <w:pStyle w:val="NoSpacing"/>
        <w:rPr>
          <w:rFonts w:ascii="Arial" w:hAnsi="Arial" w:cs="Arial"/>
          <w:b/>
        </w:rPr>
      </w:pPr>
    </w:p>
    <w:p w14:paraId="78E07724" w14:textId="77777777" w:rsidR="00BA1863" w:rsidRDefault="00BA1863" w:rsidP="00EA3A83">
      <w:pPr>
        <w:pStyle w:val="NoSpacing"/>
        <w:rPr>
          <w:rFonts w:ascii="Arial" w:hAnsi="Arial" w:cs="Arial"/>
          <w:b/>
        </w:rPr>
      </w:pPr>
    </w:p>
    <w:p w14:paraId="2917E788" w14:textId="77777777" w:rsidR="00BA1863" w:rsidRDefault="00BA1863" w:rsidP="00EA3A83">
      <w:pPr>
        <w:pStyle w:val="NoSpacing"/>
        <w:rPr>
          <w:rFonts w:ascii="Arial" w:hAnsi="Arial" w:cs="Arial"/>
          <w:b/>
        </w:rPr>
      </w:pPr>
    </w:p>
    <w:p w14:paraId="3347321A" w14:textId="77777777" w:rsidR="0059047D" w:rsidRDefault="0059047D" w:rsidP="00EA3A83">
      <w:pPr>
        <w:pStyle w:val="NoSpacing"/>
        <w:rPr>
          <w:rFonts w:ascii="Arial" w:hAnsi="Arial" w:cs="Arial"/>
          <w:b/>
        </w:rPr>
      </w:pPr>
    </w:p>
    <w:p w14:paraId="3BE3EFF3" w14:textId="477A20C0" w:rsidR="00EA3A83" w:rsidRPr="00B57BEA" w:rsidRDefault="00EA3A83" w:rsidP="00EA3A83">
      <w:pPr>
        <w:pStyle w:val="NoSpacing"/>
        <w:rPr>
          <w:rFonts w:ascii="Arial" w:hAnsi="Arial" w:cs="Arial"/>
          <w:b/>
        </w:rPr>
      </w:pPr>
      <w:r w:rsidRPr="00B57BEA">
        <w:rPr>
          <w:rFonts w:ascii="Arial" w:hAnsi="Arial" w:cs="Arial"/>
          <w:b/>
        </w:rPr>
        <w:t>For further information please contact:</w:t>
      </w:r>
    </w:p>
    <w:p w14:paraId="327923EE" w14:textId="2F902C02" w:rsidR="00EA3A83" w:rsidRDefault="00EA3A83" w:rsidP="00EA3A83">
      <w:pPr>
        <w:pStyle w:val="NoSpacing"/>
        <w:rPr>
          <w:rFonts w:ascii="Arial" w:hAnsi="Arial" w:cs="Arial"/>
        </w:rPr>
      </w:pPr>
    </w:p>
    <w:p w14:paraId="4A526603" w14:textId="77777777" w:rsidR="00C85C10" w:rsidRPr="00B57BEA" w:rsidRDefault="00C85C10" w:rsidP="00C85C10">
      <w:pPr>
        <w:pStyle w:val="NoSpacing"/>
        <w:rPr>
          <w:rFonts w:ascii="Arial" w:hAnsi="Arial" w:cs="Arial"/>
        </w:rPr>
      </w:pPr>
      <w:r w:rsidRPr="00B57BEA">
        <w:rPr>
          <w:rFonts w:ascii="Arial" w:hAnsi="Arial" w:cs="Arial"/>
        </w:rPr>
        <w:t>Sharon Mason</w:t>
      </w:r>
      <w:r w:rsidRPr="00B57BEA">
        <w:rPr>
          <w:rFonts w:ascii="Arial" w:hAnsi="Arial" w:cs="Arial"/>
        </w:rPr>
        <w:tab/>
      </w:r>
      <w:r w:rsidRPr="00B57BEA">
        <w:rPr>
          <w:rFonts w:ascii="Arial" w:hAnsi="Arial" w:cs="Arial"/>
        </w:rPr>
        <w:tab/>
      </w:r>
    </w:p>
    <w:p w14:paraId="56204AE5" w14:textId="77777777" w:rsidR="00C85C10" w:rsidRPr="00B57BEA" w:rsidRDefault="00C85C10" w:rsidP="00C85C10">
      <w:pPr>
        <w:pStyle w:val="NoSpacing"/>
        <w:rPr>
          <w:rFonts w:ascii="Arial" w:hAnsi="Arial" w:cs="Arial"/>
        </w:rPr>
      </w:pPr>
      <w:r w:rsidRPr="00B57BEA">
        <w:rPr>
          <w:rFonts w:ascii="Arial" w:hAnsi="Arial" w:cs="Arial"/>
        </w:rPr>
        <w:t>SMUK Marketing and PR</w:t>
      </w:r>
    </w:p>
    <w:p w14:paraId="2FE609CF" w14:textId="77777777" w:rsidR="00C85C10" w:rsidRPr="00B57BEA" w:rsidRDefault="0068616B" w:rsidP="00C85C10">
      <w:pPr>
        <w:pStyle w:val="NoSpacing"/>
        <w:rPr>
          <w:rFonts w:ascii="Arial" w:hAnsi="Arial" w:cs="Arial"/>
          <w:lang w:val="de-DE"/>
        </w:rPr>
      </w:pPr>
      <w:hyperlink r:id="rId10" w:history="1">
        <w:r w:rsidR="00C85C10" w:rsidRPr="00B57BEA">
          <w:rPr>
            <w:rStyle w:val="Hyperlink"/>
            <w:rFonts w:ascii="Arial" w:hAnsi="Arial" w:cs="Arial"/>
            <w:lang w:val="de-DE"/>
          </w:rPr>
          <w:t>smason@smuk.org.uk</w:t>
        </w:r>
      </w:hyperlink>
      <w:r w:rsidR="00C85C10" w:rsidRPr="00B57BEA">
        <w:rPr>
          <w:rFonts w:ascii="Arial" w:hAnsi="Arial" w:cs="Arial"/>
          <w:lang w:val="de-DE"/>
        </w:rPr>
        <w:t xml:space="preserve"> </w:t>
      </w:r>
      <w:r w:rsidR="00C85C10" w:rsidRPr="00B57BEA">
        <w:rPr>
          <w:rFonts w:ascii="Arial" w:hAnsi="Arial" w:cs="Arial"/>
          <w:lang w:val="de-DE"/>
        </w:rPr>
        <w:tab/>
      </w:r>
    </w:p>
    <w:p w14:paraId="27132324" w14:textId="77777777" w:rsidR="00C85C10" w:rsidRPr="00B57BEA" w:rsidRDefault="00C85C10" w:rsidP="00C85C10">
      <w:pPr>
        <w:pStyle w:val="NoSpacing"/>
        <w:rPr>
          <w:rFonts w:ascii="Arial" w:hAnsi="Arial" w:cs="Arial"/>
          <w:lang w:val="de-DE"/>
        </w:rPr>
      </w:pPr>
      <w:r w:rsidRPr="00B57BEA">
        <w:rPr>
          <w:rFonts w:ascii="Arial" w:hAnsi="Arial" w:cs="Arial"/>
          <w:lang w:val="de-DE"/>
        </w:rPr>
        <w:t>Mob:</w:t>
      </w:r>
      <w:r w:rsidRPr="00B57BEA">
        <w:rPr>
          <w:rFonts w:ascii="Arial" w:hAnsi="Arial" w:cs="Arial"/>
          <w:lang w:val="de-DE"/>
        </w:rPr>
        <w:tab/>
        <w:t>07747 611773</w:t>
      </w:r>
    </w:p>
    <w:p w14:paraId="48F511C8" w14:textId="265F73BA" w:rsidR="00C85C10" w:rsidRPr="00C85C10" w:rsidRDefault="00C85C10" w:rsidP="00EA3A83">
      <w:pPr>
        <w:pStyle w:val="NoSpacing"/>
        <w:rPr>
          <w:rFonts w:ascii="Arial" w:hAnsi="Arial" w:cs="Arial"/>
          <w:lang w:val="de-DE"/>
        </w:rPr>
      </w:pPr>
      <w:r w:rsidRPr="00B57BEA">
        <w:rPr>
          <w:rFonts w:ascii="Arial" w:hAnsi="Arial" w:cs="Arial"/>
          <w:lang w:val="de-DE"/>
        </w:rPr>
        <w:t>Land:</w:t>
      </w:r>
      <w:r w:rsidRPr="00B57BEA">
        <w:rPr>
          <w:rFonts w:ascii="Arial" w:hAnsi="Arial" w:cs="Arial"/>
          <w:lang w:val="de-DE"/>
        </w:rPr>
        <w:tab/>
        <w:t>01252 843350</w:t>
      </w:r>
    </w:p>
    <w:p w14:paraId="1DE10497" w14:textId="77777777" w:rsidR="00EA3A83" w:rsidRPr="00B57BEA" w:rsidRDefault="00EA3A83" w:rsidP="00EA3A83">
      <w:pPr>
        <w:pStyle w:val="NoSpacing"/>
        <w:rPr>
          <w:rFonts w:ascii="Arial" w:hAnsi="Arial" w:cs="Arial"/>
          <w:b/>
          <w:lang w:val="de-DE"/>
        </w:rPr>
      </w:pPr>
    </w:p>
    <w:p w14:paraId="5C79D6B7" w14:textId="77777777" w:rsidR="00EA3A83" w:rsidRPr="00B57BEA" w:rsidRDefault="00EA3A83" w:rsidP="00EA3A83">
      <w:pPr>
        <w:pStyle w:val="NoSpacing"/>
        <w:rPr>
          <w:rFonts w:ascii="Arial" w:hAnsi="Arial" w:cs="Arial"/>
          <w:b/>
        </w:rPr>
      </w:pPr>
      <w:r w:rsidRPr="00B57BEA">
        <w:rPr>
          <w:rFonts w:ascii="Arial" w:hAnsi="Arial" w:cs="Arial"/>
          <w:b/>
        </w:rPr>
        <w:t>Katharine Moxham</w:t>
      </w:r>
    </w:p>
    <w:p w14:paraId="492F1DB8" w14:textId="77777777" w:rsidR="00EA3A83" w:rsidRPr="00B57BEA" w:rsidRDefault="00EA3A83" w:rsidP="00EA3A83">
      <w:pPr>
        <w:pStyle w:val="NoSpacing"/>
        <w:rPr>
          <w:rFonts w:ascii="Arial" w:hAnsi="Arial" w:cs="Arial"/>
        </w:rPr>
      </w:pPr>
      <w:r w:rsidRPr="00B57BEA">
        <w:rPr>
          <w:rFonts w:ascii="Arial" w:hAnsi="Arial" w:cs="Arial"/>
        </w:rPr>
        <w:t>Spokesperson for GRiD</w:t>
      </w:r>
    </w:p>
    <w:p w14:paraId="2F94039F" w14:textId="77777777" w:rsidR="00EA3A83" w:rsidRPr="00B57BEA" w:rsidRDefault="0068616B" w:rsidP="00EA3A83">
      <w:pPr>
        <w:pStyle w:val="NoSpacing"/>
        <w:rPr>
          <w:rFonts w:ascii="Arial" w:hAnsi="Arial" w:cs="Arial"/>
        </w:rPr>
      </w:pPr>
      <w:hyperlink r:id="rId11" w:history="1">
        <w:r w:rsidR="00EA3A83" w:rsidRPr="00B57BEA">
          <w:rPr>
            <w:rStyle w:val="Hyperlink"/>
            <w:rFonts w:ascii="Arial" w:hAnsi="Arial" w:cs="Arial"/>
          </w:rPr>
          <w:t>Katharine.moxham@grouprisk.org.uk</w:t>
        </w:r>
      </w:hyperlink>
    </w:p>
    <w:p w14:paraId="5C5BB431" w14:textId="77777777" w:rsidR="00EA3A83" w:rsidRPr="00B57BEA" w:rsidRDefault="00EA3A83" w:rsidP="00EA3A83">
      <w:pPr>
        <w:pStyle w:val="NoSpacing"/>
        <w:rPr>
          <w:rFonts w:ascii="Arial" w:hAnsi="Arial" w:cs="Arial"/>
        </w:rPr>
      </w:pPr>
      <w:r w:rsidRPr="00B57BEA">
        <w:rPr>
          <w:rFonts w:ascii="Arial" w:hAnsi="Arial" w:cs="Arial"/>
          <w:lang w:eastAsia="en-GB"/>
        </w:rPr>
        <w:t>Mob: 07887 512508</w:t>
      </w:r>
    </w:p>
    <w:p w14:paraId="451C95F1" w14:textId="77777777" w:rsidR="00EA3A83" w:rsidRPr="00B57BEA" w:rsidRDefault="00EA3A83" w:rsidP="00EA3A83">
      <w:pPr>
        <w:pStyle w:val="NoSpacing"/>
        <w:rPr>
          <w:rFonts w:ascii="Arial" w:hAnsi="Arial" w:cs="Arial"/>
          <w:b/>
        </w:rPr>
      </w:pPr>
    </w:p>
    <w:p w14:paraId="180188B1" w14:textId="77777777" w:rsidR="003D0656" w:rsidRPr="00B57BEA" w:rsidRDefault="003D0656" w:rsidP="003D0656">
      <w:pPr>
        <w:pStyle w:val="NoSpacing"/>
        <w:rPr>
          <w:rFonts w:ascii="Arial" w:hAnsi="Arial" w:cs="Arial"/>
          <w:b/>
        </w:rPr>
      </w:pPr>
      <w:r w:rsidRPr="00B57BEA">
        <w:rPr>
          <w:rFonts w:ascii="Arial" w:hAnsi="Arial" w:cs="Arial"/>
          <w:b/>
        </w:rPr>
        <w:t>Notes for editors</w:t>
      </w:r>
    </w:p>
    <w:p w14:paraId="0DE5B2F0" w14:textId="77777777" w:rsidR="003D0656" w:rsidRPr="00B57BEA" w:rsidRDefault="003D0656" w:rsidP="00604741">
      <w:pPr>
        <w:pStyle w:val="NoSpacing"/>
        <w:rPr>
          <w:rFonts w:ascii="Arial" w:hAnsi="Arial" w:cs="Arial"/>
          <w:b/>
        </w:rPr>
      </w:pPr>
    </w:p>
    <w:p w14:paraId="400E6359" w14:textId="77777777" w:rsidR="00494EA7" w:rsidRPr="00B57BEA" w:rsidRDefault="00494EA7" w:rsidP="00604741">
      <w:pPr>
        <w:pStyle w:val="NoSpacing"/>
        <w:rPr>
          <w:rFonts w:ascii="Arial" w:hAnsi="Arial" w:cs="Arial"/>
          <w:b/>
        </w:rPr>
      </w:pPr>
      <w:r w:rsidRPr="00B57BEA">
        <w:rPr>
          <w:rFonts w:ascii="Arial" w:hAnsi="Arial" w:cs="Arial"/>
          <w:b/>
        </w:rPr>
        <w:t>About GRiD Claims Data</w:t>
      </w:r>
    </w:p>
    <w:p w14:paraId="20559AEC" w14:textId="4F4469C6" w:rsidR="00494EA7" w:rsidRPr="00B23862" w:rsidRDefault="00494EA7" w:rsidP="002F16FA">
      <w:pPr>
        <w:pStyle w:val="NoSpacing"/>
        <w:rPr>
          <w:rFonts w:ascii="Arial" w:hAnsi="Arial" w:cs="Arial"/>
          <w:sz w:val="20"/>
          <w:szCs w:val="20"/>
        </w:rPr>
      </w:pPr>
      <w:r w:rsidRPr="00B23862">
        <w:rPr>
          <w:rFonts w:ascii="Arial" w:hAnsi="Arial" w:cs="Arial"/>
          <w:sz w:val="20"/>
          <w:szCs w:val="20"/>
        </w:rPr>
        <w:t>The GRiD claims data survey was undertaken among its provider members and the figures are an accurate</w:t>
      </w:r>
      <w:r w:rsidR="00303FFB" w:rsidRPr="00B23862">
        <w:rPr>
          <w:rFonts w:ascii="Arial" w:hAnsi="Arial" w:cs="Arial"/>
          <w:sz w:val="20"/>
          <w:szCs w:val="20"/>
        </w:rPr>
        <w:t xml:space="preserve"> representation of the current Group R</w:t>
      </w:r>
      <w:r w:rsidRPr="00B23862">
        <w:rPr>
          <w:rFonts w:ascii="Arial" w:hAnsi="Arial" w:cs="Arial"/>
          <w:sz w:val="20"/>
          <w:szCs w:val="20"/>
        </w:rPr>
        <w:t>isk market in its entirety. Re</w:t>
      </w:r>
      <w:r w:rsidR="00303FFB" w:rsidRPr="00B23862">
        <w:rPr>
          <w:rFonts w:ascii="Arial" w:hAnsi="Arial" w:cs="Arial"/>
          <w:sz w:val="20"/>
          <w:szCs w:val="20"/>
        </w:rPr>
        <w:t>spondents provided figures for Group L</w:t>
      </w:r>
      <w:r w:rsidRPr="00B23862">
        <w:rPr>
          <w:rFonts w:ascii="Arial" w:hAnsi="Arial" w:cs="Arial"/>
          <w:sz w:val="20"/>
          <w:szCs w:val="20"/>
        </w:rPr>
        <w:t xml:space="preserve">ife, </w:t>
      </w:r>
      <w:r w:rsidR="00303FFB" w:rsidRPr="00B23862">
        <w:rPr>
          <w:rFonts w:ascii="Arial" w:hAnsi="Arial" w:cs="Arial"/>
          <w:sz w:val="20"/>
          <w:szCs w:val="20"/>
        </w:rPr>
        <w:t>G</w:t>
      </w:r>
      <w:r w:rsidRPr="00B23862">
        <w:rPr>
          <w:rFonts w:ascii="Arial" w:hAnsi="Arial" w:cs="Arial"/>
          <w:sz w:val="20"/>
          <w:szCs w:val="20"/>
        </w:rPr>
        <w:t xml:space="preserve">roup </w:t>
      </w:r>
      <w:r w:rsidR="00303FFB" w:rsidRPr="00B23862">
        <w:rPr>
          <w:rFonts w:ascii="Arial" w:hAnsi="Arial" w:cs="Arial"/>
          <w:sz w:val="20"/>
          <w:szCs w:val="20"/>
        </w:rPr>
        <w:t>I</w:t>
      </w:r>
      <w:r w:rsidRPr="00B23862">
        <w:rPr>
          <w:rFonts w:ascii="Arial" w:hAnsi="Arial" w:cs="Arial"/>
          <w:sz w:val="20"/>
          <w:szCs w:val="20"/>
        </w:rPr>
        <w:t xml:space="preserve">ncome </w:t>
      </w:r>
      <w:r w:rsidR="00303FFB" w:rsidRPr="00B23862">
        <w:rPr>
          <w:rFonts w:ascii="Arial" w:hAnsi="Arial" w:cs="Arial"/>
          <w:sz w:val="20"/>
          <w:szCs w:val="20"/>
        </w:rPr>
        <w:t>P</w:t>
      </w:r>
      <w:r w:rsidRPr="00B23862">
        <w:rPr>
          <w:rFonts w:ascii="Arial" w:hAnsi="Arial" w:cs="Arial"/>
          <w:sz w:val="20"/>
          <w:szCs w:val="20"/>
        </w:rPr>
        <w:t xml:space="preserve">rotection and </w:t>
      </w:r>
      <w:r w:rsidR="00303FFB" w:rsidRPr="00B23862">
        <w:rPr>
          <w:rFonts w:ascii="Arial" w:hAnsi="Arial" w:cs="Arial"/>
          <w:sz w:val="20"/>
          <w:szCs w:val="20"/>
        </w:rPr>
        <w:t>G</w:t>
      </w:r>
      <w:r w:rsidRPr="00B23862">
        <w:rPr>
          <w:rFonts w:ascii="Arial" w:hAnsi="Arial" w:cs="Arial"/>
          <w:sz w:val="20"/>
          <w:szCs w:val="20"/>
        </w:rPr>
        <w:t xml:space="preserve">roup </w:t>
      </w:r>
      <w:r w:rsidR="00303FFB" w:rsidRPr="00B23862">
        <w:rPr>
          <w:rFonts w:ascii="Arial" w:hAnsi="Arial" w:cs="Arial"/>
          <w:sz w:val="20"/>
          <w:szCs w:val="20"/>
        </w:rPr>
        <w:t>C</w:t>
      </w:r>
      <w:r w:rsidRPr="00B23862">
        <w:rPr>
          <w:rFonts w:ascii="Arial" w:hAnsi="Arial" w:cs="Arial"/>
          <w:sz w:val="20"/>
          <w:szCs w:val="20"/>
        </w:rPr>
        <w:t xml:space="preserve">ritical </w:t>
      </w:r>
      <w:r w:rsidR="00303FFB" w:rsidRPr="00B23862">
        <w:rPr>
          <w:rFonts w:ascii="Arial" w:hAnsi="Arial" w:cs="Arial"/>
          <w:sz w:val="20"/>
          <w:szCs w:val="20"/>
        </w:rPr>
        <w:t>I</w:t>
      </w:r>
      <w:r w:rsidRPr="00B23862">
        <w:rPr>
          <w:rFonts w:ascii="Arial" w:hAnsi="Arial" w:cs="Arial"/>
          <w:sz w:val="20"/>
          <w:szCs w:val="20"/>
        </w:rPr>
        <w:t>llness claims for 201</w:t>
      </w:r>
      <w:r w:rsidR="001E78C9" w:rsidRPr="00B23862">
        <w:rPr>
          <w:rFonts w:ascii="Arial" w:hAnsi="Arial" w:cs="Arial"/>
          <w:sz w:val="20"/>
          <w:szCs w:val="20"/>
        </w:rPr>
        <w:t>7</w:t>
      </w:r>
      <w:r w:rsidRPr="00B23862">
        <w:rPr>
          <w:rFonts w:ascii="Arial" w:hAnsi="Arial" w:cs="Arial"/>
          <w:sz w:val="20"/>
          <w:szCs w:val="20"/>
        </w:rPr>
        <w:t>.</w:t>
      </w:r>
    </w:p>
    <w:p w14:paraId="0F251AAB" w14:textId="77777777" w:rsidR="00494EA7" w:rsidRPr="00B23862" w:rsidRDefault="00494EA7" w:rsidP="002F16FA">
      <w:pPr>
        <w:pStyle w:val="NoSpacing"/>
        <w:rPr>
          <w:rFonts w:ascii="Arial" w:hAnsi="Arial" w:cs="Arial"/>
          <w:b/>
          <w:sz w:val="20"/>
          <w:szCs w:val="20"/>
        </w:rPr>
      </w:pPr>
    </w:p>
    <w:p w14:paraId="0802F001" w14:textId="77777777" w:rsidR="00474134" w:rsidRPr="00474134" w:rsidRDefault="00D946CD" w:rsidP="00474134">
      <w:pPr>
        <w:pStyle w:val="NoSpacing"/>
        <w:rPr>
          <w:rFonts w:ascii="Arial" w:hAnsi="Arial" w:cs="Arial"/>
          <w:b/>
        </w:rPr>
      </w:pPr>
      <w:r w:rsidRPr="00474134">
        <w:rPr>
          <w:rFonts w:ascii="Arial" w:hAnsi="Arial" w:cs="Arial"/>
          <w:b/>
        </w:rPr>
        <w:t>About GRiD</w:t>
      </w:r>
    </w:p>
    <w:p w14:paraId="29318C50" w14:textId="08CBA844" w:rsidR="00B23862" w:rsidRPr="00474134" w:rsidRDefault="00B23862" w:rsidP="00474134">
      <w:pPr>
        <w:pStyle w:val="NoSpacing"/>
        <w:rPr>
          <w:rFonts w:ascii="Arial" w:hAnsi="Arial" w:cs="Arial"/>
          <w:b/>
          <w:bCs/>
        </w:rPr>
      </w:pPr>
      <w:r w:rsidRPr="00474134">
        <w:rPr>
          <w:rFonts w:ascii="Arial" w:hAnsi="Arial" w:cs="Arial"/>
          <w:sz w:val="20"/>
          <w:szCs w:val="20"/>
        </w:rPr>
        <w:t>Group Risk Development (GRiD) is the industry body for the group risk protection sector, promoting the value to UK businesses of providing financial protection for their staff, enhancing their wellbeing and improving employee engagement. Our membership includes insurers, reinsurers and intermediaries</w:t>
      </w:r>
      <w:r w:rsidRPr="00A30DA7">
        <w:rPr>
          <w:rFonts w:ascii="Arial" w:hAnsi="Arial" w:cs="Arial"/>
          <w:sz w:val="20"/>
          <w:szCs w:val="20"/>
        </w:rPr>
        <w:t xml:space="preserve"> who have a collective wealth of experience built over years of operating in the group risk protection market. Under the chairmanship of Steve Bridger (MD Group Protection, Corporate, Aviva UK Life) GRiD aims to promote group risk through a collective voice to Government, policymakers, stakeholders and employers. </w:t>
      </w:r>
    </w:p>
    <w:p w14:paraId="6CE0B1B3" w14:textId="77777777" w:rsidR="00B23862" w:rsidRPr="00A30DA7" w:rsidRDefault="00B23862" w:rsidP="00B23862">
      <w:pPr>
        <w:shd w:val="clear" w:color="auto" w:fill="FFFFFF"/>
        <w:spacing w:before="100" w:beforeAutospacing="1" w:after="100" w:afterAutospacing="1"/>
        <w:jc w:val="both"/>
        <w:rPr>
          <w:rFonts w:ascii="Arial" w:hAnsi="Arial" w:cs="Arial"/>
          <w:sz w:val="20"/>
          <w:szCs w:val="20"/>
        </w:rPr>
      </w:pPr>
      <w:r w:rsidRPr="00A30DA7">
        <w:rPr>
          <w:rFonts w:ascii="Arial" w:hAnsi="Arial" w:cs="Arial"/>
          <w:sz w:val="20"/>
          <w:szCs w:val="20"/>
        </w:rPr>
        <w:t>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managed jointly with the Chartered Insurance Institute.</w:t>
      </w:r>
    </w:p>
    <w:p w14:paraId="030E1BAA" w14:textId="77777777" w:rsidR="00B23862" w:rsidRPr="00A30DA7" w:rsidRDefault="00B23862" w:rsidP="00B23862">
      <w:pPr>
        <w:shd w:val="clear" w:color="auto" w:fill="FFFFFF"/>
        <w:spacing w:before="100" w:beforeAutospacing="1" w:after="100" w:afterAutospacing="1"/>
        <w:jc w:val="both"/>
        <w:rPr>
          <w:rFonts w:ascii="Arial" w:hAnsi="Arial" w:cs="Arial"/>
          <w:sz w:val="20"/>
          <w:szCs w:val="20"/>
        </w:rPr>
      </w:pPr>
      <w:r w:rsidRPr="00A30DA7">
        <w:rPr>
          <w:rFonts w:ascii="Arial" w:hAnsi="Arial" w:cs="Arial"/>
          <w:sz w:val="20"/>
          <w:szCs w:val="20"/>
        </w:rPr>
        <w:t xml:space="preserve">GRiD’s media activity aims to generate a wider awareness and understanding of group risk products and their benefits for employers and employees. </w:t>
      </w:r>
    </w:p>
    <w:p w14:paraId="4F47F125" w14:textId="77777777" w:rsidR="00B23862" w:rsidRPr="00A30DA7" w:rsidRDefault="00B23862" w:rsidP="00B23862">
      <w:pPr>
        <w:shd w:val="clear" w:color="auto" w:fill="FFFFFF"/>
        <w:spacing w:before="100" w:beforeAutospacing="1" w:after="100" w:afterAutospacing="1"/>
        <w:jc w:val="both"/>
        <w:rPr>
          <w:rFonts w:ascii="Arial" w:hAnsi="Arial" w:cs="Arial"/>
          <w:sz w:val="20"/>
          <w:szCs w:val="20"/>
        </w:rPr>
      </w:pPr>
      <w:r w:rsidRPr="00A30DA7">
        <w:rPr>
          <w:rFonts w:ascii="Arial" w:hAnsi="Arial" w:cs="Arial"/>
          <w:sz w:val="20"/>
          <w:szCs w:val="20"/>
        </w:rPr>
        <w:t xml:space="preserve">GRiD's dedicated spokesperson, Katharine Moxham, provides expert media comment on a full range of group risk issues. </w:t>
      </w:r>
    </w:p>
    <w:p w14:paraId="0C4F02C1" w14:textId="77777777" w:rsidR="006D7885" w:rsidRDefault="0068616B" w:rsidP="006D7885">
      <w:pPr>
        <w:jc w:val="both"/>
        <w:rPr>
          <w:rFonts w:ascii="Arial" w:hAnsi="Arial" w:cs="Arial"/>
          <w:sz w:val="20"/>
          <w:szCs w:val="20"/>
        </w:rPr>
      </w:pPr>
      <w:hyperlink r:id="rId12" w:history="1">
        <w:r w:rsidR="00B23862" w:rsidRPr="00A30DA7">
          <w:rPr>
            <w:rFonts w:ascii="Arial" w:hAnsi="Arial" w:cs="Arial"/>
            <w:color w:val="0000FF" w:themeColor="hyperlink"/>
            <w:sz w:val="20"/>
            <w:szCs w:val="20"/>
            <w:u w:val="single"/>
          </w:rPr>
          <w:t>www.grouprisk.org.uk</w:t>
        </w:r>
      </w:hyperlink>
      <w:r w:rsidR="00B23862" w:rsidRPr="00A30DA7">
        <w:rPr>
          <w:rFonts w:ascii="Arial" w:hAnsi="Arial" w:cs="Arial"/>
          <w:sz w:val="20"/>
          <w:szCs w:val="20"/>
        </w:rPr>
        <w:t xml:space="preserve"> </w:t>
      </w:r>
    </w:p>
    <w:p w14:paraId="3FF6255B" w14:textId="3ECD8255" w:rsidR="00494EA7" w:rsidRPr="006D7885" w:rsidRDefault="00B23862" w:rsidP="006D7885">
      <w:pPr>
        <w:jc w:val="both"/>
        <w:rPr>
          <w:rFonts w:ascii="Arial" w:hAnsi="Arial" w:cs="Arial"/>
          <w:sz w:val="20"/>
          <w:szCs w:val="20"/>
        </w:rPr>
      </w:pPr>
      <w:r w:rsidRPr="00A30DA7">
        <w:rPr>
          <w:rFonts w:ascii="Arial" w:hAnsi="Arial" w:cs="Arial"/>
          <w:sz w:val="20"/>
          <w:szCs w:val="20"/>
        </w:rPr>
        <w:t>Follow Katharine Moxham on Twitter @KMoxha</w:t>
      </w:r>
      <w:r w:rsidR="006D7885">
        <w:rPr>
          <w:rFonts w:ascii="Arial" w:hAnsi="Arial" w:cs="Arial"/>
          <w:sz w:val="20"/>
          <w:szCs w:val="20"/>
        </w:rPr>
        <w:t>m</w:t>
      </w:r>
    </w:p>
    <w:sectPr w:rsidR="00494EA7" w:rsidRPr="006D788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2252" w14:textId="77777777" w:rsidR="0068616B" w:rsidRDefault="0068616B" w:rsidP="00671042">
      <w:pPr>
        <w:spacing w:after="0" w:line="240" w:lineRule="auto"/>
      </w:pPr>
      <w:r>
        <w:separator/>
      </w:r>
    </w:p>
  </w:endnote>
  <w:endnote w:type="continuationSeparator" w:id="0">
    <w:p w14:paraId="70E16258" w14:textId="77777777" w:rsidR="0068616B" w:rsidRDefault="0068616B" w:rsidP="0067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157545"/>
      <w:docPartObj>
        <w:docPartGallery w:val="Page Numbers (Bottom of Page)"/>
        <w:docPartUnique/>
      </w:docPartObj>
    </w:sdtPr>
    <w:sdtEndPr>
      <w:rPr>
        <w:noProof/>
      </w:rPr>
    </w:sdtEndPr>
    <w:sdtContent>
      <w:p w14:paraId="2CC13BBB" w14:textId="57700120" w:rsidR="00FC2076" w:rsidRDefault="00FC2076">
        <w:pPr>
          <w:pStyle w:val="Footer"/>
          <w:jc w:val="right"/>
        </w:pPr>
        <w:r>
          <w:fldChar w:fldCharType="begin"/>
        </w:r>
        <w:r>
          <w:instrText xml:space="preserve"> PAGE   \* MERGEFORMAT </w:instrText>
        </w:r>
        <w:r>
          <w:fldChar w:fldCharType="separate"/>
        </w:r>
        <w:r w:rsidR="00FA09E5">
          <w:rPr>
            <w:noProof/>
          </w:rPr>
          <w:t>4</w:t>
        </w:r>
        <w:r>
          <w:rPr>
            <w:noProof/>
          </w:rPr>
          <w:fldChar w:fldCharType="end"/>
        </w:r>
      </w:p>
    </w:sdtContent>
  </w:sdt>
  <w:p w14:paraId="178FE39A" w14:textId="77777777" w:rsidR="00FC2076" w:rsidRDefault="00FC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0CB9" w14:textId="77777777" w:rsidR="0068616B" w:rsidRDefault="0068616B" w:rsidP="00671042">
      <w:pPr>
        <w:spacing w:after="0" w:line="240" w:lineRule="auto"/>
      </w:pPr>
      <w:r>
        <w:separator/>
      </w:r>
    </w:p>
  </w:footnote>
  <w:footnote w:type="continuationSeparator" w:id="0">
    <w:p w14:paraId="650FF286" w14:textId="77777777" w:rsidR="0068616B" w:rsidRDefault="0068616B" w:rsidP="0067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C67F" w14:textId="1212E51C" w:rsidR="00FC2076" w:rsidRDefault="00FC2076" w:rsidP="0024473F">
    <w:pPr>
      <w:pStyle w:val="Header"/>
      <w:jc w:val="right"/>
    </w:pPr>
    <w:r>
      <w:rPr>
        <w:noProof/>
        <w:lang w:eastAsia="ja-JP"/>
      </w:rPr>
      <w:drawing>
        <wp:inline distT="0" distB="0" distL="0" distR="0" wp14:anchorId="79EC0C28" wp14:editId="3EFCAE6F">
          <wp:extent cx="1592580" cy="1126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logo whit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112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D510D"/>
    <w:multiLevelType w:val="hybridMultilevel"/>
    <w:tmpl w:val="72663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D781E"/>
    <w:multiLevelType w:val="hybridMultilevel"/>
    <w:tmpl w:val="F6B8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A6EA0"/>
    <w:multiLevelType w:val="hybridMultilevel"/>
    <w:tmpl w:val="F97A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A4979"/>
    <w:multiLevelType w:val="hybridMultilevel"/>
    <w:tmpl w:val="52EC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07F61"/>
    <w:multiLevelType w:val="hybridMultilevel"/>
    <w:tmpl w:val="8636249A"/>
    <w:lvl w:ilvl="0" w:tplc="908E0AB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34DDF"/>
    <w:multiLevelType w:val="hybridMultilevel"/>
    <w:tmpl w:val="65D0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23BD2"/>
    <w:multiLevelType w:val="hybridMultilevel"/>
    <w:tmpl w:val="579A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D0"/>
    <w:rsid w:val="00002D9E"/>
    <w:rsid w:val="00013B82"/>
    <w:rsid w:val="0001623C"/>
    <w:rsid w:val="00016D8F"/>
    <w:rsid w:val="000557F8"/>
    <w:rsid w:val="00056A95"/>
    <w:rsid w:val="000579A1"/>
    <w:rsid w:val="000711F7"/>
    <w:rsid w:val="00081506"/>
    <w:rsid w:val="000A6CBE"/>
    <w:rsid w:val="000B1277"/>
    <w:rsid w:val="000D7981"/>
    <w:rsid w:val="000E27CA"/>
    <w:rsid w:val="000E5B67"/>
    <w:rsid w:val="000F1EDE"/>
    <w:rsid w:val="000F20F2"/>
    <w:rsid w:val="000F637E"/>
    <w:rsid w:val="00100BF8"/>
    <w:rsid w:val="001046D7"/>
    <w:rsid w:val="00105A59"/>
    <w:rsid w:val="0011032E"/>
    <w:rsid w:val="0012642B"/>
    <w:rsid w:val="00131934"/>
    <w:rsid w:val="00144F7A"/>
    <w:rsid w:val="00151920"/>
    <w:rsid w:val="00152E84"/>
    <w:rsid w:val="00153A87"/>
    <w:rsid w:val="0015555A"/>
    <w:rsid w:val="00157F23"/>
    <w:rsid w:val="00174671"/>
    <w:rsid w:val="00175492"/>
    <w:rsid w:val="00181062"/>
    <w:rsid w:val="00184500"/>
    <w:rsid w:val="001A06AE"/>
    <w:rsid w:val="001A5D1C"/>
    <w:rsid w:val="001A64EF"/>
    <w:rsid w:val="001B4894"/>
    <w:rsid w:val="001B7879"/>
    <w:rsid w:val="001E296B"/>
    <w:rsid w:val="001E3A64"/>
    <w:rsid w:val="001E78C9"/>
    <w:rsid w:val="001F01A2"/>
    <w:rsid w:val="001F10E9"/>
    <w:rsid w:val="001F76F4"/>
    <w:rsid w:val="001F7D8A"/>
    <w:rsid w:val="002011F1"/>
    <w:rsid w:val="002056B1"/>
    <w:rsid w:val="00212F15"/>
    <w:rsid w:val="00232AD6"/>
    <w:rsid w:val="00233367"/>
    <w:rsid w:val="002365C2"/>
    <w:rsid w:val="0024473F"/>
    <w:rsid w:val="00245113"/>
    <w:rsid w:val="00251699"/>
    <w:rsid w:val="0026085C"/>
    <w:rsid w:val="0026388D"/>
    <w:rsid w:val="00266CBD"/>
    <w:rsid w:val="00266DC4"/>
    <w:rsid w:val="00270E6C"/>
    <w:rsid w:val="002718DF"/>
    <w:rsid w:val="00271CEC"/>
    <w:rsid w:val="002822E9"/>
    <w:rsid w:val="00287BDB"/>
    <w:rsid w:val="002C134B"/>
    <w:rsid w:val="002C3E95"/>
    <w:rsid w:val="002D4F21"/>
    <w:rsid w:val="002E1869"/>
    <w:rsid w:val="002E325A"/>
    <w:rsid w:val="002F16FA"/>
    <w:rsid w:val="003025C0"/>
    <w:rsid w:val="00303FFB"/>
    <w:rsid w:val="0030509B"/>
    <w:rsid w:val="003052B1"/>
    <w:rsid w:val="00305572"/>
    <w:rsid w:val="003061C7"/>
    <w:rsid w:val="00307F54"/>
    <w:rsid w:val="00311870"/>
    <w:rsid w:val="00313603"/>
    <w:rsid w:val="00316200"/>
    <w:rsid w:val="00316682"/>
    <w:rsid w:val="00324251"/>
    <w:rsid w:val="0033014B"/>
    <w:rsid w:val="003369F8"/>
    <w:rsid w:val="00345FAF"/>
    <w:rsid w:val="00346A77"/>
    <w:rsid w:val="00360824"/>
    <w:rsid w:val="00370632"/>
    <w:rsid w:val="00375F97"/>
    <w:rsid w:val="00383B7E"/>
    <w:rsid w:val="003865F0"/>
    <w:rsid w:val="00391AFC"/>
    <w:rsid w:val="0039202B"/>
    <w:rsid w:val="0039618E"/>
    <w:rsid w:val="003D0656"/>
    <w:rsid w:val="003E14D0"/>
    <w:rsid w:val="003E2C56"/>
    <w:rsid w:val="003F5209"/>
    <w:rsid w:val="003F5F95"/>
    <w:rsid w:val="00407588"/>
    <w:rsid w:val="00407CEF"/>
    <w:rsid w:val="00417666"/>
    <w:rsid w:val="0042005B"/>
    <w:rsid w:val="004224A9"/>
    <w:rsid w:val="00426005"/>
    <w:rsid w:val="00426437"/>
    <w:rsid w:val="004345D1"/>
    <w:rsid w:val="00436F94"/>
    <w:rsid w:val="00440749"/>
    <w:rsid w:val="00457532"/>
    <w:rsid w:val="0046102E"/>
    <w:rsid w:val="004700ED"/>
    <w:rsid w:val="00471370"/>
    <w:rsid w:val="00472BF1"/>
    <w:rsid w:val="00474134"/>
    <w:rsid w:val="00477EA5"/>
    <w:rsid w:val="00482705"/>
    <w:rsid w:val="004836ED"/>
    <w:rsid w:val="004855EE"/>
    <w:rsid w:val="004857EC"/>
    <w:rsid w:val="0049405B"/>
    <w:rsid w:val="00494EA7"/>
    <w:rsid w:val="0049560D"/>
    <w:rsid w:val="004A072D"/>
    <w:rsid w:val="004A2831"/>
    <w:rsid w:val="004A32C8"/>
    <w:rsid w:val="004B2D99"/>
    <w:rsid w:val="004B3B03"/>
    <w:rsid w:val="004C4711"/>
    <w:rsid w:val="004C4822"/>
    <w:rsid w:val="004D2A37"/>
    <w:rsid w:val="004D4859"/>
    <w:rsid w:val="004D5A48"/>
    <w:rsid w:val="004E2CDC"/>
    <w:rsid w:val="0050368C"/>
    <w:rsid w:val="00504F9D"/>
    <w:rsid w:val="005140E1"/>
    <w:rsid w:val="005202AB"/>
    <w:rsid w:val="00520946"/>
    <w:rsid w:val="0052305D"/>
    <w:rsid w:val="00531802"/>
    <w:rsid w:val="00536FCD"/>
    <w:rsid w:val="005427EE"/>
    <w:rsid w:val="00543DB7"/>
    <w:rsid w:val="005457A0"/>
    <w:rsid w:val="00550E26"/>
    <w:rsid w:val="005571A3"/>
    <w:rsid w:val="005624F1"/>
    <w:rsid w:val="005650A9"/>
    <w:rsid w:val="0056693D"/>
    <w:rsid w:val="00581A25"/>
    <w:rsid w:val="00582A85"/>
    <w:rsid w:val="0059047D"/>
    <w:rsid w:val="0059274B"/>
    <w:rsid w:val="005941B5"/>
    <w:rsid w:val="00595FD0"/>
    <w:rsid w:val="005A3EA3"/>
    <w:rsid w:val="005A5C30"/>
    <w:rsid w:val="005A6F82"/>
    <w:rsid w:val="005B521C"/>
    <w:rsid w:val="005C3910"/>
    <w:rsid w:val="005D2E69"/>
    <w:rsid w:val="005D3BD3"/>
    <w:rsid w:val="005D5974"/>
    <w:rsid w:val="005D74F3"/>
    <w:rsid w:val="005E2400"/>
    <w:rsid w:val="005E3AAF"/>
    <w:rsid w:val="005E4A93"/>
    <w:rsid w:val="005E65FA"/>
    <w:rsid w:val="005E6FBC"/>
    <w:rsid w:val="00602520"/>
    <w:rsid w:val="006034CD"/>
    <w:rsid w:val="00604741"/>
    <w:rsid w:val="00620519"/>
    <w:rsid w:val="00622C86"/>
    <w:rsid w:val="006264AD"/>
    <w:rsid w:val="006318FD"/>
    <w:rsid w:val="0063759D"/>
    <w:rsid w:val="00647713"/>
    <w:rsid w:val="006571B0"/>
    <w:rsid w:val="00657B41"/>
    <w:rsid w:val="0066318C"/>
    <w:rsid w:val="00670453"/>
    <w:rsid w:val="00670898"/>
    <w:rsid w:val="00671042"/>
    <w:rsid w:val="00683213"/>
    <w:rsid w:val="00685D65"/>
    <w:rsid w:val="0068616B"/>
    <w:rsid w:val="00695686"/>
    <w:rsid w:val="006B240D"/>
    <w:rsid w:val="006C02A9"/>
    <w:rsid w:val="006C26C0"/>
    <w:rsid w:val="006D4F3A"/>
    <w:rsid w:val="006D51A1"/>
    <w:rsid w:val="006D7885"/>
    <w:rsid w:val="006E37D2"/>
    <w:rsid w:val="006F65D6"/>
    <w:rsid w:val="006F697D"/>
    <w:rsid w:val="00700CFE"/>
    <w:rsid w:val="00701260"/>
    <w:rsid w:val="0070791E"/>
    <w:rsid w:val="007259FA"/>
    <w:rsid w:val="00733876"/>
    <w:rsid w:val="0075104F"/>
    <w:rsid w:val="0075581D"/>
    <w:rsid w:val="0076159A"/>
    <w:rsid w:val="00765C80"/>
    <w:rsid w:val="00770FF7"/>
    <w:rsid w:val="0077230E"/>
    <w:rsid w:val="007765C5"/>
    <w:rsid w:val="00790460"/>
    <w:rsid w:val="00794088"/>
    <w:rsid w:val="007A44E8"/>
    <w:rsid w:val="007A5705"/>
    <w:rsid w:val="007A7117"/>
    <w:rsid w:val="007C0050"/>
    <w:rsid w:val="007C2AB8"/>
    <w:rsid w:val="007C7DDB"/>
    <w:rsid w:val="007D1277"/>
    <w:rsid w:val="007D3392"/>
    <w:rsid w:val="007E0130"/>
    <w:rsid w:val="007E1ED6"/>
    <w:rsid w:val="007E47BF"/>
    <w:rsid w:val="007F2D77"/>
    <w:rsid w:val="007F6625"/>
    <w:rsid w:val="00800002"/>
    <w:rsid w:val="00814AD9"/>
    <w:rsid w:val="00816CAF"/>
    <w:rsid w:val="00824249"/>
    <w:rsid w:val="008243CA"/>
    <w:rsid w:val="008265EC"/>
    <w:rsid w:val="0084542F"/>
    <w:rsid w:val="00847AC6"/>
    <w:rsid w:val="00853120"/>
    <w:rsid w:val="00853D40"/>
    <w:rsid w:val="00853E07"/>
    <w:rsid w:val="008549B6"/>
    <w:rsid w:val="008638A5"/>
    <w:rsid w:val="00864780"/>
    <w:rsid w:val="008659F6"/>
    <w:rsid w:val="00870527"/>
    <w:rsid w:val="008856BA"/>
    <w:rsid w:val="008872CE"/>
    <w:rsid w:val="008A3A92"/>
    <w:rsid w:val="008A6B4F"/>
    <w:rsid w:val="008B5CD4"/>
    <w:rsid w:val="008C5E63"/>
    <w:rsid w:val="008D52D8"/>
    <w:rsid w:val="008E13F0"/>
    <w:rsid w:val="008E2986"/>
    <w:rsid w:val="008F5014"/>
    <w:rsid w:val="00917AE9"/>
    <w:rsid w:val="00930534"/>
    <w:rsid w:val="009538D7"/>
    <w:rsid w:val="00967141"/>
    <w:rsid w:val="009677B8"/>
    <w:rsid w:val="009742AF"/>
    <w:rsid w:val="0098067A"/>
    <w:rsid w:val="00983A06"/>
    <w:rsid w:val="00992357"/>
    <w:rsid w:val="009945B8"/>
    <w:rsid w:val="009A59BC"/>
    <w:rsid w:val="009B5F47"/>
    <w:rsid w:val="009B767B"/>
    <w:rsid w:val="009D58F1"/>
    <w:rsid w:val="009D6A5C"/>
    <w:rsid w:val="009D7A0A"/>
    <w:rsid w:val="009E1A8A"/>
    <w:rsid w:val="009E518E"/>
    <w:rsid w:val="009F0615"/>
    <w:rsid w:val="009F0EFF"/>
    <w:rsid w:val="009F2C95"/>
    <w:rsid w:val="009F64BA"/>
    <w:rsid w:val="009F7DB4"/>
    <w:rsid w:val="00A03696"/>
    <w:rsid w:val="00A0626F"/>
    <w:rsid w:val="00A071D0"/>
    <w:rsid w:val="00A12934"/>
    <w:rsid w:val="00A155CE"/>
    <w:rsid w:val="00A1659D"/>
    <w:rsid w:val="00A17679"/>
    <w:rsid w:val="00A224E7"/>
    <w:rsid w:val="00A231DA"/>
    <w:rsid w:val="00A25DAA"/>
    <w:rsid w:val="00A333D4"/>
    <w:rsid w:val="00A35655"/>
    <w:rsid w:val="00A3580E"/>
    <w:rsid w:val="00A35B23"/>
    <w:rsid w:val="00A37F66"/>
    <w:rsid w:val="00A46DFF"/>
    <w:rsid w:val="00A47D00"/>
    <w:rsid w:val="00A54811"/>
    <w:rsid w:val="00A553D8"/>
    <w:rsid w:val="00A60915"/>
    <w:rsid w:val="00A60EC3"/>
    <w:rsid w:val="00A6613C"/>
    <w:rsid w:val="00A953C4"/>
    <w:rsid w:val="00AA15DA"/>
    <w:rsid w:val="00AA2059"/>
    <w:rsid w:val="00AA628F"/>
    <w:rsid w:val="00AA6BBD"/>
    <w:rsid w:val="00AB09F2"/>
    <w:rsid w:val="00AB40A0"/>
    <w:rsid w:val="00AB5A2C"/>
    <w:rsid w:val="00AC2430"/>
    <w:rsid w:val="00AC2E54"/>
    <w:rsid w:val="00AC2EB2"/>
    <w:rsid w:val="00AC422B"/>
    <w:rsid w:val="00AC460D"/>
    <w:rsid w:val="00AC49E5"/>
    <w:rsid w:val="00AC4ED1"/>
    <w:rsid w:val="00AD2E84"/>
    <w:rsid w:val="00AE2CAA"/>
    <w:rsid w:val="00AE6C53"/>
    <w:rsid w:val="00AF2229"/>
    <w:rsid w:val="00AF29C3"/>
    <w:rsid w:val="00AF6B7A"/>
    <w:rsid w:val="00B03C45"/>
    <w:rsid w:val="00B06460"/>
    <w:rsid w:val="00B11459"/>
    <w:rsid w:val="00B15703"/>
    <w:rsid w:val="00B16D04"/>
    <w:rsid w:val="00B234F3"/>
    <w:rsid w:val="00B23862"/>
    <w:rsid w:val="00B244DB"/>
    <w:rsid w:val="00B334AA"/>
    <w:rsid w:val="00B41D1F"/>
    <w:rsid w:val="00B44536"/>
    <w:rsid w:val="00B575D6"/>
    <w:rsid w:val="00B57BEA"/>
    <w:rsid w:val="00B75A1C"/>
    <w:rsid w:val="00B76BEF"/>
    <w:rsid w:val="00B77407"/>
    <w:rsid w:val="00B77A3F"/>
    <w:rsid w:val="00B77A6F"/>
    <w:rsid w:val="00B86332"/>
    <w:rsid w:val="00BA1863"/>
    <w:rsid w:val="00BB2D3B"/>
    <w:rsid w:val="00BB43CF"/>
    <w:rsid w:val="00BB54F2"/>
    <w:rsid w:val="00BB5F48"/>
    <w:rsid w:val="00BD04C4"/>
    <w:rsid w:val="00BD2338"/>
    <w:rsid w:val="00BE09D0"/>
    <w:rsid w:val="00BE16A6"/>
    <w:rsid w:val="00C0021C"/>
    <w:rsid w:val="00C0793F"/>
    <w:rsid w:val="00C2192F"/>
    <w:rsid w:val="00C23571"/>
    <w:rsid w:val="00C34B82"/>
    <w:rsid w:val="00C379FA"/>
    <w:rsid w:val="00C46DE1"/>
    <w:rsid w:val="00C53930"/>
    <w:rsid w:val="00C66763"/>
    <w:rsid w:val="00C679B2"/>
    <w:rsid w:val="00C751FE"/>
    <w:rsid w:val="00C8051E"/>
    <w:rsid w:val="00C82713"/>
    <w:rsid w:val="00C85C10"/>
    <w:rsid w:val="00C86D0F"/>
    <w:rsid w:val="00C92303"/>
    <w:rsid w:val="00C94F08"/>
    <w:rsid w:val="00C9663C"/>
    <w:rsid w:val="00CA003B"/>
    <w:rsid w:val="00CA3C6C"/>
    <w:rsid w:val="00CB3E3F"/>
    <w:rsid w:val="00CC22B2"/>
    <w:rsid w:val="00CC4CA6"/>
    <w:rsid w:val="00CC4D09"/>
    <w:rsid w:val="00CC6C8B"/>
    <w:rsid w:val="00CD05A0"/>
    <w:rsid w:val="00CD31D5"/>
    <w:rsid w:val="00CD6E31"/>
    <w:rsid w:val="00CE5814"/>
    <w:rsid w:val="00CF0089"/>
    <w:rsid w:val="00CF5B9E"/>
    <w:rsid w:val="00D02F55"/>
    <w:rsid w:val="00D07F3F"/>
    <w:rsid w:val="00D1117B"/>
    <w:rsid w:val="00D163F7"/>
    <w:rsid w:val="00D177BA"/>
    <w:rsid w:val="00D20961"/>
    <w:rsid w:val="00D27178"/>
    <w:rsid w:val="00D3310D"/>
    <w:rsid w:val="00D35280"/>
    <w:rsid w:val="00D40E51"/>
    <w:rsid w:val="00D4210C"/>
    <w:rsid w:val="00D44929"/>
    <w:rsid w:val="00D46451"/>
    <w:rsid w:val="00D47ABA"/>
    <w:rsid w:val="00D619E1"/>
    <w:rsid w:val="00D668D0"/>
    <w:rsid w:val="00D754E7"/>
    <w:rsid w:val="00D76C04"/>
    <w:rsid w:val="00D776DF"/>
    <w:rsid w:val="00D836F7"/>
    <w:rsid w:val="00D838B0"/>
    <w:rsid w:val="00D85161"/>
    <w:rsid w:val="00D9183B"/>
    <w:rsid w:val="00D94185"/>
    <w:rsid w:val="00D946CD"/>
    <w:rsid w:val="00D96A2A"/>
    <w:rsid w:val="00D976CF"/>
    <w:rsid w:val="00DA1202"/>
    <w:rsid w:val="00DA2022"/>
    <w:rsid w:val="00DA5200"/>
    <w:rsid w:val="00DB1BA5"/>
    <w:rsid w:val="00DC64CF"/>
    <w:rsid w:val="00DC6BE3"/>
    <w:rsid w:val="00DC72FD"/>
    <w:rsid w:val="00DD749D"/>
    <w:rsid w:val="00DF37E3"/>
    <w:rsid w:val="00DF6657"/>
    <w:rsid w:val="00E04C8D"/>
    <w:rsid w:val="00E1280F"/>
    <w:rsid w:val="00E15A20"/>
    <w:rsid w:val="00E164CD"/>
    <w:rsid w:val="00E355ED"/>
    <w:rsid w:val="00E36B73"/>
    <w:rsid w:val="00E46FE8"/>
    <w:rsid w:val="00E51330"/>
    <w:rsid w:val="00E52192"/>
    <w:rsid w:val="00E7054E"/>
    <w:rsid w:val="00E73250"/>
    <w:rsid w:val="00E75850"/>
    <w:rsid w:val="00E83AAD"/>
    <w:rsid w:val="00E86BC2"/>
    <w:rsid w:val="00E92833"/>
    <w:rsid w:val="00E966BE"/>
    <w:rsid w:val="00EA0164"/>
    <w:rsid w:val="00EA3A83"/>
    <w:rsid w:val="00EB1E21"/>
    <w:rsid w:val="00EB51E8"/>
    <w:rsid w:val="00EB54D3"/>
    <w:rsid w:val="00EB6C59"/>
    <w:rsid w:val="00EC1261"/>
    <w:rsid w:val="00ED38EA"/>
    <w:rsid w:val="00ED6D33"/>
    <w:rsid w:val="00EE4327"/>
    <w:rsid w:val="00EE5438"/>
    <w:rsid w:val="00EF77D3"/>
    <w:rsid w:val="00F01694"/>
    <w:rsid w:val="00F13316"/>
    <w:rsid w:val="00F25A65"/>
    <w:rsid w:val="00F37AE9"/>
    <w:rsid w:val="00F4314D"/>
    <w:rsid w:val="00F461DC"/>
    <w:rsid w:val="00F50675"/>
    <w:rsid w:val="00F56D4A"/>
    <w:rsid w:val="00F6374A"/>
    <w:rsid w:val="00F70B50"/>
    <w:rsid w:val="00F8005E"/>
    <w:rsid w:val="00F9008F"/>
    <w:rsid w:val="00F97090"/>
    <w:rsid w:val="00F974A1"/>
    <w:rsid w:val="00FA019B"/>
    <w:rsid w:val="00FA09E5"/>
    <w:rsid w:val="00FC2076"/>
    <w:rsid w:val="00FD0E79"/>
    <w:rsid w:val="00FD50D2"/>
    <w:rsid w:val="00FD5B45"/>
    <w:rsid w:val="00FE43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2411"/>
  <w15:docId w15:val="{C5627585-A909-4953-A02D-A8E5169E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4D0"/>
    <w:pPr>
      <w:spacing w:after="0" w:line="240" w:lineRule="auto"/>
    </w:pPr>
  </w:style>
  <w:style w:type="character" w:styleId="Hyperlink">
    <w:name w:val="Hyperlink"/>
    <w:basedOn w:val="DefaultParagraphFont"/>
    <w:uiPriority w:val="99"/>
    <w:unhideWhenUsed/>
    <w:rsid w:val="003E14D0"/>
    <w:rPr>
      <w:color w:val="0000FF" w:themeColor="hyperlink"/>
      <w:u w:val="single"/>
    </w:rPr>
  </w:style>
  <w:style w:type="paragraph" w:styleId="BalloonText">
    <w:name w:val="Balloon Text"/>
    <w:basedOn w:val="Normal"/>
    <w:link w:val="BalloonTextChar"/>
    <w:uiPriority w:val="99"/>
    <w:semiHidden/>
    <w:unhideWhenUsed/>
    <w:rsid w:val="0042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5B"/>
    <w:rPr>
      <w:rFonts w:ascii="Tahoma" w:hAnsi="Tahoma" w:cs="Tahoma"/>
      <w:sz w:val="16"/>
      <w:szCs w:val="16"/>
    </w:rPr>
  </w:style>
  <w:style w:type="paragraph" w:styleId="FootnoteText">
    <w:name w:val="footnote text"/>
    <w:basedOn w:val="Normal"/>
    <w:link w:val="FootnoteTextChar"/>
    <w:uiPriority w:val="99"/>
    <w:rsid w:val="0067104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7104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71042"/>
    <w:rPr>
      <w:vertAlign w:val="superscript"/>
    </w:rPr>
  </w:style>
  <w:style w:type="character" w:styleId="CommentReference">
    <w:name w:val="annotation reference"/>
    <w:basedOn w:val="DefaultParagraphFont"/>
    <w:uiPriority w:val="99"/>
    <w:semiHidden/>
    <w:unhideWhenUsed/>
    <w:rsid w:val="002F16FA"/>
    <w:rPr>
      <w:sz w:val="16"/>
      <w:szCs w:val="16"/>
    </w:rPr>
  </w:style>
  <w:style w:type="paragraph" w:styleId="CommentText">
    <w:name w:val="annotation text"/>
    <w:basedOn w:val="Normal"/>
    <w:link w:val="CommentTextChar"/>
    <w:uiPriority w:val="99"/>
    <w:semiHidden/>
    <w:unhideWhenUsed/>
    <w:rsid w:val="002F16FA"/>
    <w:pPr>
      <w:spacing w:line="240" w:lineRule="auto"/>
    </w:pPr>
    <w:rPr>
      <w:sz w:val="20"/>
      <w:szCs w:val="20"/>
    </w:rPr>
  </w:style>
  <w:style w:type="character" w:customStyle="1" w:styleId="CommentTextChar">
    <w:name w:val="Comment Text Char"/>
    <w:basedOn w:val="DefaultParagraphFont"/>
    <w:link w:val="CommentText"/>
    <w:uiPriority w:val="99"/>
    <w:semiHidden/>
    <w:rsid w:val="002F16FA"/>
    <w:rPr>
      <w:sz w:val="20"/>
      <w:szCs w:val="20"/>
    </w:rPr>
  </w:style>
  <w:style w:type="paragraph" w:styleId="CommentSubject">
    <w:name w:val="annotation subject"/>
    <w:basedOn w:val="CommentText"/>
    <w:next w:val="CommentText"/>
    <w:link w:val="CommentSubjectChar"/>
    <w:uiPriority w:val="99"/>
    <w:semiHidden/>
    <w:unhideWhenUsed/>
    <w:rsid w:val="002F16FA"/>
    <w:rPr>
      <w:b/>
      <w:bCs/>
    </w:rPr>
  </w:style>
  <w:style w:type="character" w:customStyle="1" w:styleId="CommentSubjectChar">
    <w:name w:val="Comment Subject Char"/>
    <w:basedOn w:val="CommentTextChar"/>
    <w:link w:val="CommentSubject"/>
    <w:uiPriority w:val="99"/>
    <w:semiHidden/>
    <w:rsid w:val="002F16FA"/>
    <w:rPr>
      <w:b/>
      <w:bCs/>
      <w:sz w:val="20"/>
      <w:szCs w:val="20"/>
    </w:rPr>
  </w:style>
  <w:style w:type="character" w:customStyle="1" w:styleId="Mention1">
    <w:name w:val="Mention1"/>
    <w:basedOn w:val="DefaultParagraphFont"/>
    <w:uiPriority w:val="99"/>
    <w:semiHidden/>
    <w:unhideWhenUsed/>
    <w:rsid w:val="00DA2022"/>
    <w:rPr>
      <w:color w:val="2B579A"/>
      <w:shd w:val="clear" w:color="auto" w:fill="E6E6E6"/>
    </w:rPr>
  </w:style>
  <w:style w:type="paragraph" w:styleId="Header">
    <w:name w:val="header"/>
    <w:basedOn w:val="Normal"/>
    <w:link w:val="HeaderChar"/>
    <w:uiPriority w:val="99"/>
    <w:unhideWhenUsed/>
    <w:rsid w:val="0024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3F"/>
  </w:style>
  <w:style w:type="paragraph" w:styleId="Footer">
    <w:name w:val="footer"/>
    <w:basedOn w:val="Normal"/>
    <w:link w:val="FooterChar"/>
    <w:uiPriority w:val="99"/>
    <w:unhideWhenUsed/>
    <w:rsid w:val="0024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3F"/>
  </w:style>
  <w:style w:type="paragraph" w:styleId="Revision">
    <w:name w:val="Revision"/>
    <w:hidden/>
    <w:uiPriority w:val="99"/>
    <w:semiHidden/>
    <w:rsid w:val="00595FD0"/>
    <w:pPr>
      <w:spacing w:after="0" w:line="240" w:lineRule="auto"/>
    </w:pPr>
  </w:style>
  <w:style w:type="character" w:customStyle="1" w:styleId="apple-converted-space">
    <w:name w:val="apple-converted-space"/>
    <w:basedOn w:val="DefaultParagraphFont"/>
    <w:rsid w:val="00C85C10"/>
  </w:style>
  <w:style w:type="character" w:styleId="UnresolvedMention">
    <w:name w:val="Unresolved Mention"/>
    <w:basedOn w:val="DefaultParagraphFont"/>
    <w:uiPriority w:val="99"/>
    <w:semiHidden/>
    <w:unhideWhenUsed/>
    <w:rsid w:val="00CF5B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2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jFa8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oupris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arine.moxham@grouprisk.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ason@smuk.org.uk" TargetMode="External"/><Relationship Id="rId4" Type="http://schemas.openxmlformats.org/officeDocument/2006/relationships/settings" Target="settings.xml"/><Relationship Id="rId9" Type="http://schemas.openxmlformats.org/officeDocument/2006/relationships/hyperlink" Target="https://www.abi.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05FF2-7CC5-458F-BBE3-9CAC17FE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sharonmason</dc:creator>
  <cp:lastModifiedBy>Katharine Moxham</cp:lastModifiedBy>
  <cp:revision>8</cp:revision>
  <cp:lastPrinted>2018-04-24T10:07:00Z</cp:lastPrinted>
  <dcterms:created xsi:type="dcterms:W3CDTF">2018-04-27T09:49:00Z</dcterms:created>
  <dcterms:modified xsi:type="dcterms:W3CDTF">2018-05-08T13:21:00Z</dcterms:modified>
</cp:coreProperties>
</file>